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D27" w:rsidRPr="008F0D94" w:rsidRDefault="00466D27" w:rsidP="008F0D94">
      <w:pPr>
        <w:jc w:val="center"/>
        <w:rPr>
          <w:b/>
          <w:lang w:val="ru-RU"/>
        </w:rPr>
      </w:pPr>
      <w:r>
        <w:rPr>
          <w:b/>
          <w:lang w:val="ru-RU"/>
        </w:rPr>
        <w:t>Образец оформления статьи (тезисов) в сборник материалов конференции</w:t>
      </w:r>
    </w:p>
    <w:p w:rsidR="00466D27" w:rsidRDefault="00466D27" w:rsidP="00D6102B">
      <w:pPr>
        <w:jc w:val="center"/>
        <w:rPr>
          <w:b/>
          <w:i/>
          <w:color w:val="808080"/>
          <w:lang w:val="ru-RU"/>
        </w:rPr>
      </w:pPr>
      <w:r w:rsidRPr="000935F7">
        <w:rPr>
          <w:b/>
          <w:i/>
          <w:color w:val="808080"/>
          <w:lang w:val="ru-RU"/>
        </w:rPr>
        <w:t>(серым цветом выделены структурные элементы, необходимые только для статьи)</w:t>
      </w:r>
    </w:p>
    <w:p w:rsidR="00466D27" w:rsidRPr="000935F7" w:rsidRDefault="00466D27" w:rsidP="00D6102B">
      <w:pPr>
        <w:jc w:val="center"/>
        <w:rPr>
          <w:b/>
          <w:i/>
          <w:color w:val="808080"/>
          <w:lang w:val="ru-RU"/>
        </w:rPr>
      </w:pPr>
    </w:p>
    <w:p w:rsidR="00466D27" w:rsidRPr="00BE5536" w:rsidRDefault="00466D27" w:rsidP="00EC1C6A">
      <w:pPr>
        <w:jc w:val="both"/>
        <w:rPr>
          <w:bCs/>
          <w:lang w:val="ru-RU"/>
        </w:rPr>
      </w:pPr>
      <w:r w:rsidRPr="00BE5536">
        <w:rPr>
          <w:lang w:val="ru-RU"/>
        </w:rPr>
        <w:t xml:space="preserve">УДК </w:t>
      </w:r>
      <w:r w:rsidRPr="00BE5536">
        <w:rPr>
          <w:bCs/>
          <w:lang w:val="ru-RU"/>
        </w:rPr>
        <w:t>338.2</w:t>
      </w:r>
    </w:p>
    <w:p w:rsidR="00466D27" w:rsidRPr="00EC1C6A" w:rsidRDefault="00466D27" w:rsidP="00EC1C6A">
      <w:pPr>
        <w:jc w:val="right"/>
        <w:rPr>
          <w:bCs/>
          <w:lang w:val="ru-RU"/>
        </w:rPr>
      </w:pPr>
      <w:r>
        <w:rPr>
          <w:b/>
          <w:i/>
          <w:iCs/>
          <w:lang w:val="ru-RU"/>
        </w:rPr>
        <w:t>Андреева А. А.</w:t>
      </w:r>
    </w:p>
    <w:p w:rsidR="00466D27" w:rsidRPr="00C32227" w:rsidRDefault="00466D27" w:rsidP="002F7EE7">
      <w:pPr>
        <w:pStyle w:val="p12"/>
        <w:shd w:val="clear" w:color="auto" w:fill="FFFFFF"/>
        <w:suppressAutoHyphens w:val="0"/>
        <w:spacing w:before="0" w:after="0"/>
        <w:jc w:val="right"/>
        <w:rPr>
          <w:i/>
        </w:rPr>
      </w:pPr>
      <w:r>
        <w:rPr>
          <w:i/>
          <w:iCs/>
        </w:rPr>
        <w:t>к.т.н., доц.,</w:t>
      </w:r>
    </w:p>
    <w:p w:rsidR="00466D27" w:rsidRDefault="00466D27" w:rsidP="00EC1C6A">
      <w:pPr>
        <w:jc w:val="right"/>
        <w:rPr>
          <w:b/>
          <w:i/>
          <w:iCs/>
          <w:lang w:val="ru-RU"/>
        </w:rPr>
      </w:pPr>
      <w:r>
        <w:rPr>
          <w:b/>
          <w:i/>
          <w:iCs/>
          <w:lang w:val="ru-RU"/>
        </w:rPr>
        <w:t>Васильева В. В.</w:t>
      </w:r>
    </w:p>
    <w:p w:rsidR="00466D27" w:rsidRPr="00C91F1A" w:rsidRDefault="00466D27" w:rsidP="00EC1C6A">
      <w:pPr>
        <w:jc w:val="right"/>
        <w:rPr>
          <w:i/>
          <w:iCs/>
          <w:lang w:val="ru-RU"/>
        </w:rPr>
      </w:pPr>
      <w:r w:rsidRPr="00C91F1A">
        <w:rPr>
          <w:i/>
          <w:iCs/>
          <w:lang w:val="ru-RU"/>
        </w:rPr>
        <w:t>студент</w:t>
      </w:r>
      <w:r w:rsidRPr="00EC1C6A">
        <w:rPr>
          <w:i/>
          <w:iCs/>
          <w:lang w:val="ru-RU"/>
        </w:rPr>
        <w:t>ка</w:t>
      </w:r>
      <w:r w:rsidRPr="00C91F1A">
        <w:rPr>
          <w:i/>
          <w:iCs/>
          <w:lang w:val="ru-RU"/>
        </w:rPr>
        <w:t xml:space="preserve"> </w:t>
      </w:r>
      <w:r>
        <w:rPr>
          <w:i/>
          <w:iCs/>
          <w:lang w:val="ru-RU"/>
        </w:rPr>
        <w:t>4-</w:t>
      </w:r>
      <w:r w:rsidRPr="00C91F1A">
        <w:rPr>
          <w:i/>
          <w:iCs/>
          <w:lang w:val="ru-RU"/>
        </w:rPr>
        <w:t>го курса</w:t>
      </w:r>
    </w:p>
    <w:p w:rsidR="00466D27" w:rsidRDefault="00466D27" w:rsidP="00EC1C6A">
      <w:pPr>
        <w:jc w:val="right"/>
        <w:rPr>
          <w:i/>
          <w:iCs/>
          <w:lang w:val="ru-RU"/>
        </w:rPr>
      </w:pPr>
      <w:r>
        <w:rPr>
          <w:i/>
          <w:lang w:val="ru-RU"/>
        </w:rPr>
        <w:t>Донбасский государственный технический университет</w:t>
      </w:r>
      <w:r w:rsidRPr="007A71C1">
        <w:rPr>
          <w:i/>
          <w:lang w:val="ru-RU"/>
        </w:rPr>
        <w:t>, г. Алчевск, ЛНР</w:t>
      </w:r>
      <w:r>
        <w:rPr>
          <w:i/>
          <w:iCs/>
          <w:lang w:val="ru-RU"/>
        </w:rPr>
        <w:t>, Россия,</w:t>
      </w:r>
    </w:p>
    <w:p w:rsidR="00466D27" w:rsidRPr="00C32227" w:rsidRDefault="00466D27" w:rsidP="00D76BA0">
      <w:pPr>
        <w:pStyle w:val="p12"/>
        <w:shd w:val="clear" w:color="auto" w:fill="FFFFFF"/>
        <w:suppressAutoHyphens w:val="0"/>
        <w:spacing w:before="0" w:after="0"/>
        <w:jc w:val="right"/>
        <w:rPr>
          <w:i/>
        </w:rPr>
      </w:pPr>
      <w:r>
        <w:rPr>
          <w:b/>
          <w:i/>
        </w:rPr>
        <w:t>Николаев</w:t>
      </w:r>
      <w:r w:rsidRPr="00C32227">
        <w:rPr>
          <w:b/>
          <w:i/>
        </w:rPr>
        <w:t xml:space="preserve"> Н</w:t>
      </w:r>
      <w:r>
        <w:rPr>
          <w:b/>
          <w:i/>
        </w:rPr>
        <w:t>.</w:t>
      </w:r>
      <w:r w:rsidRPr="00C32227">
        <w:rPr>
          <w:b/>
          <w:i/>
        </w:rPr>
        <w:t xml:space="preserve"> Н</w:t>
      </w:r>
      <w:r>
        <w:rPr>
          <w:b/>
          <w:i/>
        </w:rPr>
        <w:t>.</w:t>
      </w:r>
    </w:p>
    <w:p w:rsidR="00466D27" w:rsidRPr="004E0965" w:rsidRDefault="00466D27" w:rsidP="004E0965">
      <w:pPr>
        <w:jc w:val="right"/>
        <w:rPr>
          <w:i/>
          <w:lang w:val="ru-RU"/>
        </w:rPr>
      </w:pPr>
      <w:r>
        <w:rPr>
          <w:i/>
          <w:lang w:val="ru-RU"/>
        </w:rPr>
        <w:t>главный инженер</w:t>
      </w:r>
    </w:p>
    <w:p w:rsidR="00466D27" w:rsidRPr="009769E1" w:rsidRDefault="00466D27" w:rsidP="004E0965">
      <w:pPr>
        <w:jc w:val="right"/>
        <w:rPr>
          <w:i/>
          <w:lang w:val="ru-RU"/>
        </w:rPr>
      </w:pPr>
      <w:r w:rsidRPr="004E0965">
        <w:rPr>
          <w:i/>
          <w:lang w:val="ru-RU"/>
        </w:rPr>
        <w:t>Южный горно-металлургический комплекс, г. Алчевск, ЛНР</w:t>
      </w:r>
      <w:r w:rsidRPr="007A71C1">
        <w:rPr>
          <w:i/>
          <w:lang w:val="ru-RU"/>
        </w:rPr>
        <w:t>,</w:t>
      </w:r>
      <w:r>
        <w:rPr>
          <w:i/>
          <w:lang w:val="ru-RU"/>
        </w:rPr>
        <w:t xml:space="preserve"> Россия</w:t>
      </w:r>
    </w:p>
    <w:p w:rsidR="00466D27" w:rsidRPr="00C91F1A" w:rsidRDefault="00466D27" w:rsidP="00EC1C6A">
      <w:pPr>
        <w:jc w:val="right"/>
        <w:rPr>
          <w:i/>
          <w:iCs/>
          <w:lang w:val="ru-RU"/>
        </w:rPr>
      </w:pPr>
    </w:p>
    <w:p w:rsidR="00466D27" w:rsidRPr="007A71C1" w:rsidRDefault="00466D27" w:rsidP="007A71C1">
      <w:pPr>
        <w:suppressAutoHyphens/>
        <w:spacing w:before="240" w:after="240"/>
        <w:jc w:val="center"/>
        <w:rPr>
          <w:b/>
          <w:shd w:val="clear" w:color="auto" w:fill="FFFFFF"/>
          <w:lang w:val="ru-RU"/>
        </w:rPr>
      </w:pPr>
      <w:r w:rsidRPr="007A71C1">
        <w:rPr>
          <w:b/>
          <w:caps/>
          <w:lang w:val="ru-RU"/>
        </w:rPr>
        <w:t>СОВЕРШЕНСТВОВАНИЕ ТЕХНОЛОГИИ ТЕРМИЧЕСКОЙ ОБРАБОТКИ МАССИВНЫХ ВАЛКОВ</w:t>
      </w:r>
    </w:p>
    <w:p w:rsidR="00466D27" w:rsidRPr="00942A19" w:rsidRDefault="00466D27" w:rsidP="005716D6">
      <w:pPr>
        <w:ind w:firstLine="709"/>
        <w:jc w:val="both"/>
        <w:rPr>
          <w:i/>
          <w:color w:val="808080"/>
          <w:sz w:val="22"/>
          <w:szCs w:val="22"/>
          <w:lang w:val="ru-RU" w:eastAsia="en-US"/>
        </w:rPr>
      </w:pPr>
      <w:r w:rsidRPr="00942A19">
        <w:rPr>
          <w:i/>
          <w:color w:val="808080"/>
          <w:sz w:val="22"/>
          <w:szCs w:val="22"/>
          <w:lang w:val="ru-RU" w:eastAsia="en-US"/>
        </w:rPr>
        <w:t>Работа посвящена разработке технологии термической обработки массивных валков в газовых камерных печах с выдвижным подом. Установлена неравномерность прогрева валков, вызвавшая повышение неоднородности в уровне их свойств. В работе предложены реконструкция горелок в печи и корректирование режима термической обработки.</w:t>
      </w:r>
    </w:p>
    <w:p w:rsidR="00466D27" w:rsidRPr="007A71C1" w:rsidRDefault="00466D27" w:rsidP="005716D6">
      <w:pPr>
        <w:spacing w:after="100" w:afterAutospacing="1"/>
        <w:ind w:firstLine="709"/>
        <w:jc w:val="both"/>
        <w:rPr>
          <w:b/>
          <w:color w:val="808080"/>
          <w:sz w:val="22"/>
          <w:szCs w:val="22"/>
          <w:lang w:val="ru-RU"/>
        </w:rPr>
      </w:pPr>
      <w:r w:rsidRPr="00942A19">
        <w:rPr>
          <w:b/>
          <w:i/>
          <w:color w:val="808080"/>
          <w:sz w:val="22"/>
          <w:szCs w:val="22"/>
          <w:lang w:val="ru-RU" w:eastAsia="en-US"/>
        </w:rPr>
        <w:t xml:space="preserve">Ключевые слова: </w:t>
      </w:r>
      <w:r w:rsidRPr="00942A19">
        <w:rPr>
          <w:i/>
          <w:color w:val="808080"/>
          <w:sz w:val="22"/>
          <w:szCs w:val="22"/>
          <w:lang w:val="ru-RU" w:eastAsia="en-US"/>
        </w:rPr>
        <w:t>валок, газовая термическая печь с выдвижным подом, равномерность прогрева, свойства, термическая обработка</w:t>
      </w:r>
      <w:r w:rsidRPr="00942A19">
        <w:rPr>
          <w:i/>
          <w:color w:val="808080"/>
          <w:sz w:val="22"/>
          <w:szCs w:val="22"/>
          <w:lang w:val="uk-UA" w:eastAsia="en-US"/>
        </w:rPr>
        <w:t>.</w:t>
      </w:r>
    </w:p>
    <w:p w:rsidR="00466D27" w:rsidRPr="008F0D94" w:rsidRDefault="00466D27" w:rsidP="00BE32C9">
      <w:pPr>
        <w:ind w:firstLine="709"/>
        <w:jc w:val="both"/>
        <w:rPr>
          <w:spacing w:val="-2"/>
          <w:lang w:val="ru-RU" w:eastAsia="en-US"/>
        </w:rPr>
      </w:pPr>
      <w:r w:rsidRPr="008F0D94">
        <w:rPr>
          <w:bCs/>
          <w:iCs/>
          <w:spacing w:val="-2"/>
          <w:lang w:val="ru-RU"/>
        </w:rPr>
        <w:t xml:space="preserve">Своевременное применение инструментов предотвращения кризисных ситуаций и ликвидации их последствий — условие достижения долгосрочной устойчивости и эффективности бизнес операций. </w:t>
      </w:r>
      <w:r w:rsidRPr="008F0D94">
        <w:rPr>
          <w:spacing w:val="-2"/>
          <w:lang w:val="ru-RU" w:eastAsia="en-US"/>
        </w:rPr>
        <w:t>Исследования, направленные на разработку такого инструментария, встречают объективные трудности, обусловленные сложностью и многогранностью кризиса как явления в функционировании предприятия</w:t>
      </w:r>
      <w:r>
        <w:rPr>
          <w:spacing w:val="-2"/>
          <w:lang w:val="ru-RU" w:eastAsia="en-US"/>
        </w:rPr>
        <w:t xml:space="preserve"> </w:t>
      </w:r>
      <w:r w:rsidRPr="007A71C1">
        <w:rPr>
          <w:lang w:val="ru-RU"/>
        </w:rPr>
        <w:t>[1–3]</w:t>
      </w:r>
      <w:r w:rsidRPr="008F0D94">
        <w:rPr>
          <w:spacing w:val="-2"/>
          <w:lang w:val="ru-RU" w:eastAsia="en-US"/>
        </w:rPr>
        <w:t xml:space="preserve">. </w:t>
      </w:r>
    </w:p>
    <w:p w:rsidR="00466D27" w:rsidRDefault="00466D27" w:rsidP="00917A56">
      <w:pPr>
        <w:pStyle w:val="ab"/>
        <w:ind w:firstLine="709"/>
      </w:pPr>
      <w:r w:rsidRPr="00917A56">
        <w:t>Для проведения процессов углекислотной газификации образующегося при пиролизе</w:t>
      </w:r>
      <w:r>
        <w:t xml:space="preserve"> </w:t>
      </w:r>
      <w:r w:rsidRPr="007A71C1">
        <w:t>твердого углеродсодержащего остатка использовалась экспериментальная установка (рис. 1)</w:t>
      </w:r>
      <w:r>
        <w:t>.</w:t>
      </w:r>
    </w:p>
    <w:p w:rsidR="00466D27" w:rsidRPr="00917A56" w:rsidRDefault="00466D27" w:rsidP="00183BA7">
      <w:pPr>
        <w:pStyle w:val="ab"/>
        <w:ind w:firstLine="709"/>
      </w:pPr>
      <w:r>
        <w:t xml:space="preserve">Перед поступлением в реакционную зону газифицирующий агент, проходя через подогреватель </w:t>
      </w:r>
      <w:r w:rsidRPr="00183BA7">
        <w:rPr>
          <w:i/>
        </w:rPr>
        <w:t>4</w:t>
      </w:r>
      <w:r>
        <w:t xml:space="preserve">, подогревался до 100 ºС. Образующийся газ направлялся через барабанный счетчик </w:t>
      </w:r>
      <w:r w:rsidRPr="00183BA7">
        <w:rPr>
          <w:i/>
        </w:rPr>
        <w:t>8</w:t>
      </w:r>
      <w:r>
        <w:t xml:space="preserve"> для определения количества и газоанализатор </w:t>
      </w:r>
      <w:r w:rsidRPr="00183BA7">
        <w:rPr>
          <w:i/>
        </w:rPr>
        <w:t>10</w:t>
      </w:r>
      <w:r>
        <w:t>, для контроля состава образующегося газа.</w:t>
      </w:r>
    </w:p>
    <w:p w:rsidR="00466D27" w:rsidRDefault="007A71C1" w:rsidP="0028382C">
      <w:pPr>
        <w:pStyle w:val="ad"/>
        <w:keepNext w:val="0"/>
        <w:spacing w:before="2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хема установки" style="width:278.25pt;height:147.75pt;visibility:visible">
            <v:imagedata r:id="rId7" o:title="" gain="1.25"/>
          </v:shape>
        </w:pict>
      </w:r>
    </w:p>
    <w:p w:rsidR="00466D27" w:rsidRDefault="00466D27" w:rsidP="00AE1EB5">
      <w:pPr>
        <w:pStyle w:val="af1"/>
        <w:keepNext w:val="0"/>
        <w:suppressAutoHyphens/>
        <w:ind w:left="0" w:right="0"/>
        <w:jc w:val="center"/>
      </w:pPr>
      <w:r>
        <w:t>1 — баллон с CO</w:t>
      </w:r>
      <w:r>
        <w:rPr>
          <w:vertAlign w:val="subscript"/>
        </w:rPr>
        <w:t>2</w:t>
      </w:r>
      <w:r>
        <w:t>; 2 — вентиль; 3 — расходомер; 4 — подогреватель СО</w:t>
      </w:r>
      <w:r>
        <w:rPr>
          <w:vertAlign w:val="subscript"/>
        </w:rPr>
        <w:t>2</w:t>
      </w:r>
      <w:r>
        <w:t>; 5 — реактор; 6 — теплообменник;</w:t>
      </w:r>
      <w:r>
        <w:br/>
        <w:t>7 — сепаратор-отделитель; 8 — барабанный счётчик; 9 — перистальтический насос; 10 — газоанализатор;</w:t>
      </w:r>
      <w:r>
        <w:br/>
        <w:t>11 — терморегулятор</w:t>
      </w:r>
    </w:p>
    <w:p w:rsidR="00466D27" w:rsidRDefault="00466D27" w:rsidP="00AE1EB5">
      <w:pPr>
        <w:pStyle w:val="af3"/>
        <w:rPr>
          <w:szCs w:val="22"/>
          <w:lang w:eastAsia="ru-RU"/>
        </w:rPr>
      </w:pPr>
      <w:r>
        <w:rPr>
          <w:lang w:eastAsia="ru-RU"/>
        </w:rPr>
        <w:t>Рисунок 1 — Схема экспериментальной установки</w:t>
      </w:r>
    </w:p>
    <w:p w:rsidR="00466D27" w:rsidRDefault="00466D27" w:rsidP="000138D6">
      <w:pPr>
        <w:pStyle w:val="af8"/>
      </w:pPr>
      <w:r w:rsidRPr="001C0886">
        <w:lastRenderedPageBreak/>
        <w:t>Основным способом охраны магистральных подготавливающих выработок на шахтах Донбасса является охрана угольными целиками больших размеров. Данный способ характеризуется простотой осуществления. Ширина угольных целиков зависит от горно-геологических условий и может превышать 100</w:t>
      </w:r>
      <w:r w:rsidRPr="00FC7514">
        <w:t>–</w:t>
      </w:r>
      <w:r w:rsidRPr="001C0886">
        <w:t>150</w:t>
      </w:r>
      <w:r>
        <w:rPr>
          <w:lang w:val="en-US"/>
        </w:rPr>
        <w:t> </w:t>
      </w:r>
      <w:r w:rsidRPr="001C0886">
        <w:t>м, что приводит к существенным потерям полезного ископаемого. Одним из способов снижения потерь угля является применение разгрузочных полос. Сущность данного способа заключается в извлечении угля в боках выработки (создание разгрузочной полосы) с последующим возведением деревянных костров</w:t>
      </w:r>
      <w:r>
        <w:t> </w:t>
      </w:r>
      <w:r w:rsidRPr="001C0886">
        <w:t>(рис</w:t>
      </w:r>
      <w:r>
        <w:t>. 2, </w:t>
      </w:r>
      <w:r w:rsidRPr="00623EB6">
        <w:rPr>
          <w:i/>
        </w:rPr>
        <w:t>а</w:t>
      </w:r>
      <w:r w:rsidRPr="001C0886">
        <w:t>) либо бутовой полосы (рис.</w:t>
      </w:r>
      <w:r>
        <w:t> 2, </w:t>
      </w:r>
      <w:r w:rsidRPr="00623EB6">
        <w:rPr>
          <w:i/>
        </w:rPr>
        <w:t>б</w:t>
      </w:r>
      <w:r w:rsidRPr="001C0886">
        <w:t>). При этом зона опорного давления отдаляется от охраняемой выработки, тем самым повышая ее устойчивость.</w:t>
      </w:r>
    </w:p>
    <w:p w:rsidR="00466D27" w:rsidRDefault="00466D27" w:rsidP="00AD20C0">
      <w:pPr>
        <w:ind w:firstLine="709"/>
        <w:jc w:val="both"/>
        <w:rPr>
          <w:lang w:val="ru-RU" w:eastAsia="en-US"/>
        </w:rPr>
      </w:pPr>
      <w:r w:rsidRPr="00577502">
        <w:rPr>
          <w:lang w:val="ru-RU" w:eastAsia="en-US"/>
        </w:rPr>
        <w:t xml:space="preserve">Группировка осуществляется по трем категориям объектов (А, В, С). При этом категория А охватывает незначительное количество объектов с высоким уровнем влияния </w:t>
      </w:r>
      <w:proofErr w:type="gramStart"/>
      <w:r w:rsidRPr="00577502">
        <w:rPr>
          <w:lang w:val="ru-RU" w:eastAsia="en-US"/>
        </w:rPr>
        <w:t>на результативный показатель</w:t>
      </w:r>
      <w:proofErr w:type="gramEnd"/>
      <w:r w:rsidRPr="00577502">
        <w:rPr>
          <w:lang w:val="ru-RU" w:eastAsia="en-US"/>
        </w:rPr>
        <w:t xml:space="preserve"> контролируемого категория В — среднее количество объектов со средним уровнем воздействия, а категория С — значительное количество объектов (статей расходов или объектов калькулирования себестоимости) с незначительным влиянием на эффективность хозяйствования. Так, главный смысл исследования при АВС-анализе заключается в том, что максимальная рентабельность и максимальный прирост рыночной стоимости предприятия достигается в несколько этапов. Внедрение данного метода может осуществляться в несколько этапов (табл. </w:t>
      </w:r>
      <w:r>
        <w:rPr>
          <w:lang w:val="ru-RU" w:eastAsia="en-US"/>
        </w:rPr>
        <w:t>1</w:t>
      </w:r>
      <w:r w:rsidRPr="00577502">
        <w:rPr>
          <w:lang w:val="ru-RU" w:eastAsia="en-US"/>
        </w:rPr>
        <w:t>).</w:t>
      </w:r>
    </w:p>
    <w:p w:rsidR="00466D27" w:rsidRPr="001C0886" w:rsidRDefault="007A71C1" w:rsidP="00AD20C0">
      <w:pPr>
        <w:pStyle w:val="ad"/>
        <w:keepNext w:val="0"/>
        <w:spacing w:before="240"/>
      </w:pPr>
      <w:r>
        <w:pict>
          <v:shape id="_x0000_i1026" type="#_x0000_t75" style="width:463.5pt;height:225pt">
            <v:imagedata r:id="rId8" o:title=""/>
          </v:shape>
        </w:pict>
      </w:r>
    </w:p>
    <w:p w:rsidR="00466D27" w:rsidRDefault="00466D27" w:rsidP="00AD20C0">
      <w:pPr>
        <w:pStyle w:val="af1"/>
        <w:keepNext w:val="0"/>
        <w:suppressAutoHyphens/>
        <w:ind w:left="0" w:right="0"/>
        <w:jc w:val="center"/>
      </w:pPr>
      <w:r>
        <w:t xml:space="preserve">1 — выработанное пространство; 2 — охранный целик; 3 — деревянный костер; 4 — разгрузочная полоса; </w:t>
      </w:r>
      <w:r>
        <w:br w:type="textWrapping" w:clear="all"/>
        <w:t>5 — магистральная выработка; 6 — бутовая полоса</w:t>
      </w:r>
    </w:p>
    <w:p w:rsidR="00466D27" w:rsidRPr="00577502" w:rsidRDefault="00466D27" w:rsidP="00AD20C0">
      <w:pPr>
        <w:pStyle w:val="af3"/>
      </w:pPr>
      <w:r>
        <w:t xml:space="preserve">Рисунок 2 — Схемы охраны магистральных выработок угольными целиками с применением в разгрузочных полосах: а </w:t>
      </w:r>
      <w:r w:rsidRPr="00674FE2">
        <w:t>—</w:t>
      </w:r>
      <w:r>
        <w:t xml:space="preserve"> деревянных костров; б </w:t>
      </w:r>
      <w:r w:rsidRPr="00674FE2">
        <w:t>—</w:t>
      </w:r>
      <w:r>
        <w:t xml:space="preserve"> бутовых полос</w:t>
      </w:r>
    </w:p>
    <w:p w:rsidR="00466D27" w:rsidRPr="00577502" w:rsidRDefault="00466D27" w:rsidP="00AD20C0">
      <w:pPr>
        <w:spacing w:before="240" w:after="120"/>
        <w:ind w:left="1418" w:hanging="1418"/>
        <w:jc w:val="both"/>
        <w:rPr>
          <w:lang w:val="ru-RU" w:eastAsia="en-US"/>
        </w:rPr>
      </w:pPr>
      <w:r w:rsidRPr="00577502">
        <w:rPr>
          <w:lang w:val="ru-RU" w:eastAsia="en-US"/>
        </w:rPr>
        <w:t>Таблица </w:t>
      </w:r>
      <w:r>
        <w:rPr>
          <w:lang w:val="ru-RU" w:eastAsia="en-US"/>
        </w:rPr>
        <w:t>1</w:t>
      </w:r>
      <w:r w:rsidRPr="00577502">
        <w:rPr>
          <w:lang w:val="ru-RU" w:eastAsia="en-US"/>
        </w:rPr>
        <w:t> — Характерис</w:t>
      </w:r>
      <w:bookmarkStart w:id="0" w:name="_GoBack"/>
      <w:bookmarkEnd w:id="0"/>
      <w:r w:rsidRPr="00577502">
        <w:rPr>
          <w:lang w:val="ru-RU" w:eastAsia="en-US"/>
        </w:rPr>
        <w:t xml:space="preserve">тика этапов управления затратами предприятия на основе </w:t>
      </w:r>
      <w:r w:rsidRPr="00577502">
        <w:rPr>
          <w:lang w:val="ru-RU" w:eastAsia="en-US"/>
        </w:rPr>
        <w:br/>
        <w:t>АВС-метода [</w:t>
      </w:r>
      <w:r>
        <w:rPr>
          <w:lang w:val="uk-UA" w:eastAsia="en-US"/>
        </w:rPr>
        <w:t>6</w:t>
      </w:r>
      <w:r w:rsidRPr="00577502">
        <w:rPr>
          <w:lang w:val="ru-RU"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8"/>
        <w:gridCol w:w="2580"/>
        <w:gridCol w:w="5220"/>
      </w:tblGrid>
      <w:tr w:rsidR="00466D27" w:rsidRPr="00577502" w:rsidTr="00F2650A">
        <w:trPr>
          <w:jc w:val="center"/>
        </w:trPr>
        <w:tc>
          <w:tcPr>
            <w:tcW w:w="1848" w:type="dxa"/>
          </w:tcPr>
          <w:p w:rsidR="00466D27" w:rsidRPr="00577502" w:rsidRDefault="00466D27" w:rsidP="00F2650A">
            <w:pPr>
              <w:suppressAutoHyphens/>
              <w:jc w:val="center"/>
              <w:rPr>
                <w:lang w:val="ru-RU" w:eastAsia="en-US"/>
              </w:rPr>
            </w:pPr>
            <w:r w:rsidRPr="00577502">
              <w:rPr>
                <w:sz w:val="22"/>
                <w:lang w:val="ru-RU" w:eastAsia="en-US"/>
              </w:rPr>
              <w:t>Этап</w:t>
            </w:r>
          </w:p>
        </w:tc>
        <w:tc>
          <w:tcPr>
            <w:tcW w:w="2580" w:type="dxa"/>
          </w:tcPr>
          <w:p w:rsidR="00466D27" w:rsidRPr="00577502" w:rsidRDefault="00466D27" w:rsidP="00F2650A">
            <w:pPr>
              <w:suppressAutoHyphens/>
              <w:jc w:val="center"/>
              <w:rPr>
                <w:lang w:val="ru-RU" w:eastAsia="en-US"/>
              </w:rPr>
            </w:pPr>
            <w:r w:rsidRPr="00577502">
              <w:rPr>
                <w:sz w:val="22"/>
                <w:lang w:val="ru-RU" w:eastAsia="en-US"/>
              </w:rPr>
              <w:t>Цель</w:t>
            </w:r>
          </w:p>
        </w:tc>
        <w:tc>
          <w:tcPr>
            <w:tcW w:w="5220" w:type="dxa"/>
          </w:tcPr>
          <w:p w:rsidR="00466D27" w:rsidRPr="00577502" w:rsidRDefault="00466D27" w:rsidP="00F2650A">
            <w:pPr>
              <w:suppressAutoHyphens/>
              <w:jc w:val="center"/>
              <w:rPr>
                <w:lang w:val="ru-RU" w:eastAsia="en-US"/>
              </w:rPr>
            </w:pPr>
            <w:r w:rsidRPr="00577502">
              <w:rPr>
                <w:sz w:val="22"/>
                <w:lang w:val="ru-RU" w:eastAsia="en-US"/>
              </w:rPr>
              <w:t>Задачи</w:t>
            </w:r>
          </w:p>
        </w:tc>
      </w:tr>
      <w:tr w:rsidR="00466D27" w:rsidRPr="007A71C1" w:rsidTr="00F2650A">
        <w:trPr>
          <w:jc w:val="center"/>
        </w:trPr>
        <w:tc>
          <w:tcPr>
            <w:tcW w:w="1848" w:type="dxa"/>
            <w:tcMar>
              <w:left w:w="28" w:type="dxa"/>
              <w:right w:w="28" w:type="dxa"/>
            </w:tcMar>
          </w:tcPr>
          <w:p w:rsidR="00466D27" w:rsidRPr="00577502" w:rsidRDefault="00466D27" w:rsidP="00F2650A">
            <w:pPr>
              <w:suppressAutoHyphens/>
              <w:jc w:val="both"/>
              <w:rPr>
                <w:spacing w:val="-6"/>
                <w:lang w:val="ru-RU" w:eastAsia="en-US"/>
              </w:rPr>
            </w:pPr>
            <w:r w:rsidRPr="00577502">
              <w:rPr>
                <w:spacing w:val="-6"/>
                <w:sz w:val="22"/>
                <w:lang w:val="ru-RU" w:eastAsia="en-US"/>
              </w:rPr>
              <w:t xml:space="preserve">Подготовительный </w:t>
            </w:r>
          </w:p>
        </w:tc>
        <w:tc>
          <w:tcPr>
            <w:tcW w:w="2580" w:type="dxa"/>
          </w:tcPr>
          <w:p w:rsidR="00466D27" w:rsidRPr="00577502" w:rsidRDefault="00466D27" w:rsidP="00F2650A">
            <w:pPr>
              <w:suppressAutoHyphens/>
              <w:rPr>
                <w:spacing w:val="-4"/>
                <w:lang w:val="ru-RU" w:eastAsia="en-US"/>
              </w:rPr>
            </w:pPr>
            <w:r w:rsidRPr="00577502">
              <w:rPr>
                <w:spacing w:val="-4"/>
                <w:sz w:val="22"/>
                <w:lang w:val="ru-RU" w:eastAsia="en-US"/>
              </w:rPr>
              <w:t>Формирование информационного и организационного обеспечения проведения анализа затрат</w:t>
            </w:r>
          </w:p>
        </w:tc>
        <w:tc>
          <w:tcPr>
            <w:tcW w:w="5220" w:type="dxa"/>
          </w:tcPr>
          <w:p w:rsidR="00466D27" w:rsidRPr="00643AB3" w:rsidRDefault="00466D27" w:rsidP="00F2650A">
            <w:pPr>
              <w:suppressAutoHyphens/>
              <w:jc w:val="both"/>
              <w:rPr>
                <w:spacing w:val="-6"/>
                <w:lang w:val="ru-RU" w:eastAsia="en-US"/>
              </w:rPr>
            </w:pPr>
            <w:r w:rsidRPr="00643AB3">
              <w:rPr>
                <w:spacing w:val="6"/>
                <w:sz w:val="22"/>
                <w:lang w:val="ru-RU" w:eastAsia="en-US"/>
              </w:rPr>
              <w:t xml:space="preserve">Определение ответственных лиц и исполнителей. Разработка плана и программы проведения аналитических исследований. Определение цели, задач и </w:t>
            </w:r>
            <w:proofErr w:type="spellStart"/>
            <w:r w:rsidRPr="00643AB3">
              <w:rPr>
                <w:spacing w:val="6"/>
                <w:sz w:val="22"/>
                <w:lang w:val="ru-RU" w:eastAsia="en-US"/>
              </w:rPr>
              <w:t>соответсвующих</w:t>
            </w:r>
            <w:proofErr w:type="spellEnd"/>
            <w:r w:rsidRPr="00643AB3">
              <w:rPr>
                <w:spacing w:val="6"/>
                <w:sz w:val="22"/>
                <w:lang w:val="ru-RU" w:eastAsia="en-US"/>
              </w:rPr>
              <w:t xml:space="preserve"> объектов</w:t>
            </w:r>
            <w:r w:rsidRPr="00643AB3">
              <w:rPr>
                <w:spacing w:val="-6"/>
                <w:sz w:val="22"/>
                <w:lang w:val="ru-RU" w:eastAsia="en-US"/>
              </w:rPr>
              <w:t xml:space="preserve"> функционально-стоимостного анализа. Формирование информационной базы и каналов обмена информацией для проведения исследований. </w:t>
            </w:r>
          </w:p>
        </w:tc>
      </w:tr>
    </w:tbl>
    <w:p w:rsidR="00466D27" w:rsidRPr="00577502" w:rsidRDefault="00466D27" w:rsidP="00AD20C0">
      <w:pPr>
        <w:spacing w:after="120"/>
        <w:rPr>
          <w:lang w:val="ru-RU" w:eastAsia="en-US"/>
        </w:rPr>
      </w:pPr>
      <w:r w:rsidRPr="00577502">
        <w:rPr>
          <w:rFonts w:ascii="Calibri" w:hAnsi="Calibri"/>
          <w:sz w:val="22"/>
          <w:szCs w:val="22"/>
          <w:lang w:val="ru-RU" w:eastAsia="en-US"/>
        </w:rPr>
        <w:br w:type="page"/>
      </w:r>
      <w:r w:rsidRPr="00577502">
        <w:rPr>
          <w:lang w:val="ru-RU" w:eastAsia="en-US"/>
        </w:rPr>
        <w:lastRenderedPageBreak/>
        <w:t xml:space="preserve">Продолжение таблицы </w:t>
      </w:r>
      <w:r>
        <w:rPr>
          <w:lang w:val="ru-RU" w:eastAsia="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8"/>
        <w:gridCol w:w="2580"/>
        <w:gridCol w:w="5220"/>
      </w:tblGrid>
      <w:tr w:rsidR="00466D27" w:rsidRPr="00577502" w:rsidTr="00F2650A">
        <w:trPr>
          <w:jc w:val="center"/>
        </w:trPr>
        <w:tc>
          <w:tcPr>
            <w:tcW w:w="1848" w:type="dxa"/>
            <w:tcMar>
              <w:left w:w="28" w:type="dxa"/>
              <w:right w:w="28" w:type="dxa"/>
            </w:tcMar>
          </w:tcPr>
          <w:p w:rsidR="00466D27" w:rsidRPr="00577502" w:rsidRDefault="00466D27" w:rsidP="00F2650A">
            <w:pPr>
              <w:suppressAutoHyphens/>
              <w:jc w:val="center"/>
              <w:rPr>
                <w:lang w:val="ru-RU" w:eastAsia="en-US"/>
              </w:rPr>
            </w:pPr>
            <w:r w:rsidRPr="00577502">
              <w:rPr>
                <w:sz w:val="22"/>
                <w:lang w:val="ru-RU" w:eastAsia="en-US"/>
              </w:rPr>
              <w:t>Этап</w:t>
            </w:r>
          </w:p>
        </w:tc>
        <w:tc>
          <w:tcPr>
            <w:tcW w:w="2580" w:type="dxa"/>
          </w:tcPr>
          <w:p w:rsidR="00466D27" w:rsidRPr="00577502" w:rsidRDefault="00466D27" w:rsidP="00F2650A">
            <w:pPr>
              <w:suppressAutoHyphens/>
              <w:jc w:val="center"/>
              <w:rPr>
                <w:lang w:val="ru-RU" w:eastAsia="en-US"/>
              </w:rPr>
            </w:pPr>
            <w:r w:rsidRPr="00577502">
              <w:rPr>
                <w:sz w:val="22"/>
                <w:lang w:val="ru-RU" w:eastAsia="en-US"/>
              </w:rPr>
              <w:t>Цель</w:t>
            </w:r>
          </w:p>
        </w:tc>
        <w:tc>
          <w:tcPr>
            <w:tcW w:w="5220" w:type="dxa"/>
          </w:tcPr>
          <w:p w:rsidR="00466D27" w:rsidRPr="00577502" w:rsidRDefault="00466D27" w:rsidP="00F2650A">
            <w:pPr>
              <w:suppressAutoHyphens/>
              <w:jc w:val="center"/>
              <w:rPr>
                <w:lang w:val="ru-RU" w:eastAsia="en-US"/>
              </w:rPr>
            </w:pPr>
            <w:r w:rsidRPr="00577502">
              <w:rPr>
                <w:sz w:val="22"/>
                <w:lang w:val="ru-RU" w:eastAsia="en-US"/>
              </w:rPr>
              <w:t>Задачи</w:t>
            </w:r>
          </w:p>
        </w:tc>
      </w:tr>
      <w:tr w:rsidR="00466D27" w:rsidRPr="007A71C1" w:rsidTr="00F2650A">
        <w:trPr>
          <w:jc w:val="center"/>
        </w:trPr>
        <w:tc>
          <w:tcPr>
            <w:tcW w:w="1848" w:type="dxa"/>
            <w:tcMar>
              <w:left w:w="28" w:type="dxa"/>
              <w:right w:w="28" w:type="dxa"/>
            </w:tcMar>
          </w:tcPr>
          <w:p w:rsidR="00466D27" w:rsidRPr="00577502" w:rsidRDefault="00466D27" w:rsidP="00F2650A">
            <w:pPr>
              <w:suppressAutoHyphens/>
              <w:jc w:val="both"/>
              <w:rPr>
                <w:lang w:val="ru-RU" w:eastAsia="en-US"/>
              </w:rPr>
            </w:pPr>
            <w:r w:rsidRPr="00577502">
              <w:rPr>
                <w:sz w:val="22"/>
                <w:lang w:val="ru-RU" w:eastAsia="en-US"/>
              </w:rPr>
              <w:t>Конструктивный</w:t>
            </w:r>
          </w:p>
        </w:tc>
        <w:tc>
          <w:tcPr>
            <w:tcW w:w="2580" w:type="dxa"/>
          </w:tcPr>
          <w:p w:rsidR="00466D27" w:rsidRPr="00577502" w:rsidRDefault="00466D27" w:rsidP="00F2650A">
            <w:pPr>
              <w:suppressAutoHyphens/>
              <w:rPr>
                <w:lang w:val="ru-RU" w:eastAsia="en-US"/>
              </w:rPr>
            </w:pPr>
            <w:r w:rsidRPr="00577502">
              <w:rPr>
                <w:sz w:val="22"/>
                <w:lang w:val="ru-RU" w:eastAsia="en-US"/>
              </w:rPr>
              <w:t>Принятие решения по оптимизации затрат</w:t>
            </w:r>
          </w:p>
        </w:tc>
        <w:tc>
          <w:tcPr>
            <w:tcW w:w="5220" w:type="dxa"/>
          </w:tcPr>
          <w:p w:rsidR="00466D27" w:rsidRPr="00577502" w:rsidRDefault="00466D27" w:rsidP="00F2650A">
            <w:pPr>
              <w:suppressAutoHyphens/>
              <w:jc w:val="both"/>
              <w:rPr>
                <w:lang w:val="ru-RU" w:eastAsia="en-US"/>
              </w:rPr>
            </w:pPr>
            <w:r w:rsidRPr="00577502">
              <w:rPr>
                <w:sz w:val="22"/>
                <w:lang w:val="ru-RU" w:eastAsia="en-US"/>
              </w:rPr>
              <w:t xml:space="preserve">Поиск направлений и разработка вариантов усовершенствования функциональной структуры формирования себестоимости. Оценка потребности в дополнительных затратах на финансирование мероприятий по оптимизации себестоимости. Сравнительная оценка социально-экономической эффективности разработанных альтернатив управленческих решений. Готовое изделие. </w:t>
            </w:r>
          </w:p>
        </w:tc>
      </w:tr>
      <w:tr w:rsidR="00466D27" w:rsidRPr="00577502" w:rsidTr="00F2650A">
        <w:trPr>
          <w:jc w:val="center"/>
        </w:trPr>
        <w:tc>
          <w:tcPr>
            <w:tcW w:w="1848" w:type="dxa"/>
            <w:tcMar>
              <w:left w:w="28" w:type="dxa"/>
              <w:right w:w="28" w:type="dxa"/>
            </w:tcMar>
          </w:tcPr>
          <w:p w:rsidR="00466D27" w:rsidRPr="00577502" w:rsidRDefault="00466D27" w:rsidP="00F2650A">
            <w:pPr>
              <w:suppressAutoHyphens/>
              <w:jc w:val="both"/>
              <w:rPr>
                <w:lang w:val="ru-RU" w:eastAsia="en-US"/>
              </w:rPr>
            </w:pPr>
            <w:r w:rsidRPr="00577502">
              <w:rPr>
                <w:sz w:val="22"/>
                <w:lang w:val="ru-RU" w:eastAsia="en-US"/>
              </w:rPr>
              <w:t>Завершающий</w:t>
            </w:r>
          </w:p>
        </w:tc>
        <w:tc>
          <w:tcPr>
            <w:tcW w:w="2580" w:type="dxa"/>
          </w:tcPr>
          <w:p w:rsidR="00466D27" w:rsidRPr="00577502" w:rsidRDefault="00466D27" w:rsidP="00F2650A">
            <w:pPr>
              <w:suppressAutoHyphens/>
              <w:rPr>
                <w:lang w:val="ru-RU" w:eastAsia="en-US"/>
              </w:rPr>
            </w:pPr>
            <w:r w:rsidRPr="00577502">
              <w:rPr>
                <w:sz w:val="22"/>
                <w:lang w:val="ru-RU" w:eastAsia="en-US"/>
              </w:rPr>
              <w:t>Обеспечение оптимизации затрат на основе принятого решения</w:t>
            </w:r>
          </w:p>
        </w:tc>
        <w:tc>
          <w:tcPr>
            <w:tcW w:w="5220" w:type="dxa"/>
          </w:tcPr>
          <w:p w:rsidR="00466D27" w:rsidRPr="00643AB3" w:rsidRDefault="00466D27" w:rsidP="00F2650A">
            <w:pPr>
              <w:suppressAutoHyphens/>
              <w:jc w:val="both"/>
              <w:rPr>
                <w:spacing w:val="-6"/>
                <w:lang w:val="ru-RU" w:eastAsia="en-US"/>
              </w:rPr>
            </w:pPr>
            <w:r w:rsidRPr="00643AB3">
              <w:rPr>
                <w:spacing w:val="-6"/>
                <w:sz w:val="22"/>
                <w:lang w:val="ru-RU" w:eastAsia="en-US"/>
              </w:rPr>
              <w:t>Разработка календарного плана внедрения результатов анализа и принятого варианта оптимизационных мероприятий. Внедрение результатов анализа на основе АВС-метода.</w:t>
            </w:r>
          </w:p>
        </w:tc>
      </w:tr>
    </w:tbl>
    <w:p w:rsidR="00466D27" w:rsidRPr="00B46CAE" w:rsidRDefault="00466D27" w:rsidP="000138D6">
      <w:pPr>
        <w:pStyle w:val="af8"/>
      </w:pPr>
    </w:p>
    <w:p w:rsidR="00466D27" w:rsidRPr="00DC074E" w:rsidRDefault="00466D27" w:rsidP="006B32E0">
      <w:pPr>
        <w:pStyle w:val="af8"/>
        <w:rPr>
          <w:spacing w:val="-2"/>
        </w:rPr>
      </w:pPr>
      <w:r w:rsidRPr="00DC074E">
        <w:rPr>
          <w:spacing w:val="-2"/>
        </w:rPr>
        <w:t>Планируя работу обучающихся над ситуативными заданиями, определяем такие этапы:</w:t>
      </w:r>
    </w:p>
    <w:p w:rsidR="00466D27" w:rsidRPr="0002377B" w:rsidRDefault="00466D27" w:rsidP="006B32E0">
      <w:pPr>
        <w:pStyle w:val="af8"/>
      </w:pPr>
      <w:r>
        <w:t>– </w:t>
      </w:r>
      <w:r w:rsidRPr="0002377B">
        <w:t>подготовительный (деятельность осуществляется в такой последовательности: осмысление ситуации, консультация специалистов-практиков, составление плана, сбор фактического материала, поиск аргументов для основной части выступления);</w:t>
      </w:r>
    </w:p>
    <w:p w:rsidR="00466D27" w:rsidRPr="0002377B" w:rsidRDefault="00466D27" w:rsidP="006B32E0">
      <w:pPr>
        <w:pStyle w:val="af8"/>
      </w:pPr>
      <w:r>
        <w:t>– </w:t>
      </w:r>
      <w:r w:rsidRPr="0002377B">
        <w:t>упражнение (реализация определенного приема для логического и эмоционального воздействия на слушателей, аудио- или видеозапись для работы с голосом, использование невербальных средств);</w:t>
      </w:r>
    </w:p>
    <w:p w:rsidR="00466D27" w:rsidRPr="0002377B" w:rsidRDefault="00466D27" w:rsidP="006B32E0">
      <w:pPr>
        <w:pStyle w:val="af8"/>
      </w:pPr>
      <w:r>
        <w:t>– </w:t>
      </w:r>
      <w:r w:rsidRPr="0002377B">
        <w:t>выступление (обращается внимание на смысловое наполнение, выбор лучшего выражения из нескольких возможных, оригинальность, целесообразность речи, введение уместных элементов дискурсивной риторики, произношение, подчеркивание слов, интонирование, мимику, жесты и т.</w:t>
      </w:r>
      <w:r>
        <w:t> </w:t>
      </w:r>
      <w:r w:rsidRPr="0002377B">
        <w:t>п.);</w:t>
      </w:r>
    </w:p>
    <w:p w:rsidR="00466D27" w:rsidRPr="0002377B" w:rsidRDefault="00466D27" w:rsidP="006B32E0">
      <w:pPr>
        <w:pStyle w:val="af8"/>
      </w:pPr>
      <w:r>
        <w:t>– </w:t>
      </w:r>
      <w:r w:rsidRPr="0002377B">
        <w:t>обсуждение выступления слушателями (исправление ошибок: нарушения норм произношения, отбора слова, грамматической формы, синтаксических конструкций; вопросы слушателей);</w:t>
      </w:r>
    </w:p>
    <w:p w:rsidR="00466D27" w:rsidRPr="0002377B" w:rsidRDefault="00466D27" w:rsidP="006B32E0">
      <w:pPr>
        <w:pStyle w:val="af8"/>
      </w:pPr>
      <w:r>
        <w:t>– </w:t>
      </w:r>
      <w:r w:rsidRPr="0002377B">
        <w:t>подведение итогов, оценивание (критические замечания слушателей, слово автору для «защиты», дополнений, опровержений, благодарности).</w:t>
      </w:r>
    </w:p>
    <w:p w:rsidR="00466D27" w:rsidRPr="00443FD3" w:rsidRDefault="00466D27" w:rsidP="00F241B6">
      <w:pPr>
        <w:shd w:val="clear" w:color="auto" w:fill="FFFFFF"/>
        <w:ind w:firstLine="709"/>
        <w:jc w:val="both"/>
        <w:rPr>
          <w:spacing w:val="-2"/>
          <w:shd w:val="clear" w:color="auto" w:fill="FFFFFF"/>
          <w:lang w:val="ru-RU" w:eastAsia="en-US"/>
        </w:rPr>
      </w:pPr>
      <w:r w:rsidRPr="00443FD3">
        <w:rPr>
          <w:spacing w:val="-2"/>
          <w:shd w:val="clear" w:color="auto" w:fill="FFFFFF"/>
          <w:lang w:val="ru-RU" w:eastAsia="en-US"/>
        </w:rPr>
        <w:t>Одним из основных моментов является минимизация коммуникационных барьеров в системе управления персоналом при передаче информации между структурными подразделениями, что приводит к несвоевременному заполнению вакансии квалифицированными кадрами и, как следствие, к неукомплектованности штата предприятия. От грамотно построенной системы управления персоналом в организации зависит эффективность работников [4, 5].</w:t>
      </w:r>
    </w:p>
    <w:p w:rsidR="00466D27" w:rsidRPr="00525B49" w:rsidRDefault="00466D27" w:rsidP="00727879">
      <w:pPr>
        <w:pStyle w:val="af8"/>
      </w:pPr>
      <w:r w:rsidRPr="00525B49">
        <w:t>Для усиления взаимодействия между учеником и учителем можно использовать различные интерактивные программы</w:t>
      </w:r>
      <w:r>
        <w:t xml:space="preserve"> [6–10]</w:t>
      </w:r>
      <w:r w:rsidRPr="00525B49">
        <w:t>. Интерактивная деятельность</w:t>
      </w:r>
      <w:r>
        <w:t xml:space="preserve"> — </w:t>
      </w:r>
      <w:r w:rsidRPr="00525B49">
        <w:t>это очень широкое понятие и до сих пор изучается. Поэтому существует множество интерактивных инструментов, и они охватывают различные современные медиа-меры, например:</w:t>
      </w:r>
    </w:p>
    <w:p w:rsidR="00466D27" w:rsidRPr="00525B49" w:rsidRDefault="00466D27" w:rsidP="00727879">
      <w:pPr>
        <w:pStyle w:val="af8"/>
      </w:pPr>
      <w:r w:rsidRPr="00525B49">
        <w:t>а) интерактивные доски;</w:t>
      </w:r>
    </w:p>
    <w:p w:rsidR="00466D27" w:rsidRPr="00525B49" w:rsidRDefault="00466D27" w:rsidP="00727879">
      <w:pPr>
        <w:pStyle w:val="af8"/>
      </w:pPr>
      <w:r w:rsidRPr="00525B49">
        <w:t>б) образовательные программы;</w:t>
      </w:r>
    </w:p>
    <w:p w:rsidR="00466D27" w:rsidRPr="00525B49" w:rsidRDefault="00466D27" w:rsidP="00727879">
      <w:pPr>
        <w:pStyle w:val="af8"/>
      </w:pPr>
      <w:r w:rsidRPr="00525B49">
        <w:t>в) развивающие игры;</w:t>
      </w:r>
    </w:p>
    <w:p w:rsidR="00466D27" w:rsidRPr="00525B49" w:rsidRDefault="00466D27" w:rsidP="00727879">
      <w:pPr>
        <w:pStyle w:val="af8"/>
      </w:pPr>
      <w:r w:rsidRPr="00525B49">
        <w:t>г) виртуальная среда обучения;</w:t>
      </w:r>
    </w:p>
    <w:p w:rsidR="00466D27" w:rsidRDefault="00466D27" w:rsidP="00727879">
      <w:pPr>
        <w:pStyle w:val="af8"/>
      </w:pPr>
      <w:r w:rsidRPr="00525B49">
        <w:t>д) онлайн-веб-страницы для обучения.</w:t>
      </w:r>
    </w:p>
    <w:p w:rsidR="00466D27" w:rsidRPr="00922E76" w:rsidRDefault="00466D27" w:rsidP="002D2A09">
      <w:pPr>
        <w:ind w:firstLine="709"/>
        <w:jc w:val="both"/>
        <w:rPr>
          <w:lang w:val="ru-RU" w:eastAsia="en-US"/>
        </w:rPr>
      </w:pPr>
      <w:r w:rsidRPr="00922E76">
        <w:rPr>
          <w:iCs/>
          <w:lang w:val="ru-RU"/>
        </w:rPr>
        <w:t xml:space="preserve">Рекомендуемые в таблице 2 углы, вычисленные по арифметической прогрессии, косвенно учитывают прочность, слоистость толщи пород и глубину очистных работ, ограничивают прямолинейное увеличение длин </w:t>
      </w:r>
      <w:proofErr w:type="spellStart"/>
      <w:r w:rsidRPr="00922E76">
        <w:rPr>
          <w:iCs/>
          <w:lang w:val="ru-RU"/>
        </w:rPr>
        <w:t>полумульд</w:t>
      </w:r>
      <w:proofErr w:type="spellEnd"/>
      <w:r w:rsidRPr="00922E76">
        <w:rPr>
          <w:iCs/>
          <w:lang w:val="ru-RU"/>
        </w:rPr>
        <w:t xml:space="preserve"> на больших глубинах</w:t>
      </w:r>
      <w:r>
        <w:rPr>
          <w:iCs/>
          <w:lang w:val="ru-RU"/>
        </w:rPr>
        <w:t>;</w:t>
      </w:r>
      <w:r w:rsidRPr="00922E76">
        <w:rPr>
          <w:iCs/>
          <w:lang w:val="ru-RU"/>
        </w:rPr>
        <w:t xml:space="preserve"> форма зоны сдвижения очистной выработки в каменноугольных отложениях в главных сечениях мульды близка к эллипсоиду при наличии плоского дна, а определ</w:t>
      </w:r>
      <w:r>
        <w:rPr>
          <w:iCs/>
          <w:lang w:val="ru-RU"/>
        </w:rPr>
        <w:t>е</w:t>
      </w:r>
      <w:r w:rsidRPr="00922E76">
        <w:rPr>
          <w:iCs/>
          <w:lang w:val="ru-RU"/>
        </w:rPr>
        <w:t>нные по привед</w:t>
      </w:r>
      <w:r>
        <w:rPr>
          <w:iCs/>
          <w:lang w:val="ru-RU"/>
        </w:rPr>
        <w:t>е</w:t>
      </w:r>
      <w:r w:rsidRPr="00922E76">
        <w:rPr>
          <w:iCs/>
          <w:lang w:val="ru-RU"/>
        </w:rPr>
        <w:t xml:space="preserve">нной методике параметры максимальных оседаний и деформаций земной поверхности в </w:t>
      </w:r>
      <w:proofErr w:type="spellStart"/>
      <w:r w:rsidRPr="00922E76">
        <w:rPr>
          <w:iCs/>
          <w:lang w:val="ru-RU"/>
        </w:rPr>
        <w:t>полумульде</w:t>
      </w:r>
      <w:proofErr w:type="spellEnd"/>
      <w:r w:rsidRPr="00922E76">
        <w:rPr>
          <w:iCs/>
          <w:lang w:val="ru-RU"/>
        </w:rPr>
        <w:t xml:space="preserve"> по простиранию пласта близки к результатам натурных наблюдений.</w:t>
      </w:r>
    </w:p>
    <w:p w:rsidR="00466D27" w:rsidRDefault="00466D27" w:rsidP="002D2A09">
      <w:pPr>
        <w:spacing w:before="240" w:after="120"/>
        <w:ind w:left="1418" w:hanging="1418"/>
        <w:jc w:val="both"/>
        <w:rPr>
          <w:lang w:val="ru-RU"/>
        </w:rPr>
      </w:pPr>
      <w:r w:rsidRPr="00922E76">
        <w:rPr>
          <w:lang w:val="ru-RU" w:eastAsia="en-US"/>
        </w:rPr>
        <w:lastRenderedPageBreak/>
        <w:t>Таблица 2 — </w:t>
      </w:r>
      <w:r w:rsidRPr="00922E76">
        <w:rPr>
          <w:lang w:val="ru-RU"/>
        </w:rPr>
        <w:t>Граничные углы</w:t>
      </w:r>
      <w:r w:rsidRPr="007A71C1">
        <w:rPr>
          <w:lang w:val="ru-RU"/>
        </w:rPr>
        <w:t xml:space="preserve">, углы полных </w:t>
      </w:r>
      <w:proofErr w:type="spellStart"/>
      <w:r w:rsidRPr="007A71C1">
        <w:rPr>
          <w:lang w:val="ru-RU"/>
        </w:rPr>
        <w:t>сдвижений</w:t>
      </w:r>
      <w:proofErr w:type="spellEnd"/>
      <w:r w:rsidRPr="007A71C1">
        <w:rPr>
          <w:lang w:val="ru-RU"/>
        </w:rPr>
        <w:t xml:space="preserve"> и угол максимального оседания</w:t>
      </w:r>
    </w:p>
    <w:tbl>
      <w:tblPr>
        <w:tblW w:w="4968" w:type="pct"/>
        <w:jc w:val="center"/>
        <w:tblCellMar>
          <w:left w:w="40" w:type="dxa"/>
          <w:right w:w="40" w:type="dxa"/>
        </w:tblCellMar>
        <w:tblLook w:val="0000" w:firstRow="0" w:lastRow="0" w:firstColumn="0" w:lastColumn="0" w:noHBand="0" w:noVBand="0"/>
      </w:tblPr>
      <w:tblGrid>
        <w:gridCol w:w="1132"/>
        <w:gridCol w:w="2645"/>
        <w:gridCol w:w="2131"/>
        <w:gridCol w:w="1512"/>
        <w:gridCol w:w="2212"/>
      </w:tblGrid>
      <w:tr w:rsidR="00466D27" w:rsidRPr="00D632F3" w:rsidTr="00F2650A">
        <w:trPr>
          <w:trHeight w:val="55"/>
          <w:jc w:val="center"/>
        </w:trPr>
        <w:tc>
          <w:tcPr>
            <w:tcW w:w="588" w:type="pct"/>
            <w:vMerge w:val="restart"/>
            <w:tcBorders>
              <w:top w:val="single" w:sz="6" w:space="0" w:color="auto"/>
              <w:left w:val="single" w:sz="6" w:space="0" w:color="auto"/>
              <w:right w:val="single" w:sz="6" w:space="0" w:color="auto"/>
            </w:tcBorders>
            <w:tcMar>
              <w:left w:w="28" w:type="dxa"/>
              <w:right w:w="28" w:type="dxa"/>
            </w:tcMar>
            <w:vAlign w:val="center"/>
          </w:tcPr>
          <w:p w:rsidR="00466D27" w:rsidRPr="00D632F3" w:rsidRDefault="00466D27" w:rsidP="00F2650A">
            <w:pPr>
              <w:suppressAutoHyphens/>
              <w:jc w:val="center"/>
            </w:pPr>
            <w:proofErr w:type="spellStart"/>
            <w:r w:rsidRPr="00D632F3">
              <w:rPr>
                <w:sz w:val="22"/>
                <w:szCs w:val="22"/>
              </w:rPr>
              <w:t>Марка</w:t>
            </w:r>
            <w:proofErr w:type="spellEnd"/>
            <w:r w:rsidRPr="00D632F3">
              <w:rPr>
                <w:sz w:val="22"/>
                <w:szCs w:val="22"/>
              </w:rPr>
              <w:t xml:space="preserve"> </w:t>
            </w:r>
            <w:proofErr w:type="spellStart"/>
            <w:r w:rsidRPr="00D632F3">
              <w:rPr>
                <w:sz w:val="22"/>
                <w:szCs w:val="22"/>
              </w:rPr>
              <w:t>угля</w:t>
            </w:r>
            <w:proofErr w:type="spellEnd"/>
          </w:p>
        </w:tc>
        <w:tc>
          <w:tcPr>
            <w:tcW w:w="3264" w:type="pct"/>
            <w:gridSpan w:val="3"/>
            <w:tcBorders>
              <w:top w:val="single" w:sz="6" w:space="0" w:color="auto"/>
              <w:left w:val="single" w:sz="6"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proofErr w:type="spellStart"/>
            <w:r w:rsidRPr="00D632F3">
              <w:rPr>
                <w:sz w:val="22"/>
                <w:szCs w:val="22"/>
                <w:lang w:val="uk-UA"/>
              </w:rPr>
              <w:t>Граничные</w:t>
            </w:r>
            <w:proofErr w:type="spellEnd"/>
            <w:r w:rsidRPr="00D632F3">
              <w:rPr>
                <w:sz w:val="22"/>
                <w:szCs w:val="22"/>
                <w:lang w:val="uk-UA"/>
              </w:rPr>
              <w:t xml:space="preserve"> </w:t>
            </w:r>
            <w:proofErr w:type="spellStart"/>
            <w:r w:rsidRPr="00D632F3">
              <w:rPr>
                <w:sz w:val="22"/>
                <w:szCs w:val="22"/>
                <w:lang w:val="uk-UA"/>
              </w:rPr>
              <w:t>углы</w:t>
            </w:r>
            <w:proofErr w:type="spellEnd"/>
          </w:p>
        </w:tc>
        <w:tc>
          <w:tcPr>
            <w:tcW w:w="1148" w:type="pct"/>
            <w:vMerge w:val="restar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proofErr w:type="spellStart"/>
            <w:r w:rsidRPr="00D632F3">
              <w:rPr>
                <w:sz w:val="22"/>
                <w:szCs w:val="22"/>
              </w:rPr>
              <w:t>Угол</w:t>
            </w:r>
            <w:proofErr w:type="spellEnd"/>
            <w:r w:rsidRPr="00D632F3">
              <w:rPr>
                <w:sz w:val="22"/>
                <w:szCs w:val="22"/>
              </w:rPr>
              <w:t xml:space="preserve"> </w:t>
            </w:r>
            <w:proofErr w:type="spellStart"/>
            <w:r w:rsidRPr="00D632F3">
              <w:rPr>
                <w:sz w:val="22"/>
                <w:szCs w:val="22"/>
              </w:rPr>
              <w:t>максимального</w:t>
            </w:r>
            <w:proofErr w:type="spellEnd"/>
            <w:r w:rsidRPr="00D632F3">
              <w:rPr>
                <w:sz w:val="22"/>
                <w:szCs w:val="22"/>
              </w:rPr>
              <w:t xml:space="preserve"> </w:t>
            </w:r>
            <w:proofErr w:type="spellStart"/>
            <w:r w:rsidRPr="00D632F3">
              <w:rPr>
                <w:sz w:val="22"/>
                <w:szCs w:val="22"/>
              </w:rPr>
              <w:t>оседания</w:t>
            </w:r>
            <w:proofErr w:type="spellEnd"/>
            <w:r w:rsidRPr="00D632F3">
              <w:rPr>
                <w:sz w:val="22"/>
                <w:szCs w:val="22"/>
              </w:rPr>
              <w:t xml:space="preserve"> Θ</w:t>
            </w:r>
          </w:p>
        </w:tc>
      </w:tr>
      <w:tr w:rsidR="00466D27" w:rsidRPr="00D632F3" w:rsidTr="00F2650A">
        <w:trPr>
          <w:trHeight w:hRule="exact" w:val="342"/>
          <w:jc w:val="center"/>
        </w:trPr>
        <w:tc>
          <w:tcPr>
            <w:tcW w:w="588" w:type="pct"/>
            <w:vMerge/>
            <w:tcBorders>
              <w:left w:val="single" w:sz="6" w:space="0" w:color="auto"/>
              <w:bottom w:val="single" w:sz="6" w:space="0" w:color="auto"/>
              <w:right w:val="single" w:sz="6" w:space="0" w:color="auto"/>
            </w:tcBorders>
            <w:tcMar>
              <w:left w:w="28" w:type="dxa"/>
              <w:right w:w="28" w:type="dxa"/>
            </w:tcMar>
            <w:vAlign w:val="center"/>
          </w:tcPr>
          <w:p w:rsidR="00466D27" w:rsidRPr="00D632F3" w:rsidRDefault="00466D27" w:rsidP="00F2650A">
            <w:pPr>
              <w:suppressAutoHyphens/>
              <w:jc w:val="center"/>
              <w:rPr>
                <w:i/>
              </w:rPr>
            </w:pPr>
          </w:p>
        </w:tc>
        <w:tc>
          <w:tcPr>
            <w:tcW w:w="1373" w:type="pct"/>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66D27" w:rsidRPr="00D632F3" w:rsidRDefault="00466D27" w:rsidP="00F2650A">
            <w:pPr>
              <w:suppressAutoHyphens/>
              <w:jc w:val="center"/>
              <w:rPr>
                <w:iCs/>
              </w:rPr>
            </w:pPr>
            <w:r w:rsidRPr="00D632F3">
              <w:rPr>
                <w:i/>
                <w:sz w:val="22"/>
                <w:szCs w:val="22"/>
              </w:rPr>
              <w:t>β</w:t>
            </w:r>
            <w:r w:rsidRPr="00D632F3">
              <w:rPr>
                <w:sz w:val="22"/>
                <w:szCs w:val="22"/>
                <w:vertAlign w:val="subscript"/>
              </w:rPr>
              <w:t>0</w:t>
            </w:r>
          </w:p>
        </w:tc>
        <w:tc>
          <w:tcPr>
            <w:tcW w:w="1106" w:type="pct"/>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66D27" w:rsidRPr="00D632F3" w:rsidRDefault="00466D27" w:rsidP="00F2650A">
            <w:pPr>
              <w:suppressAutoHyphens/>
              <w:jc w:val="center"/>
              <w:rPr>
                <w:i/>
                <w:spacing w:val="-4"/>
              </w:rPr>
            </w:pPr>
            <w:r w:rsidRPr="00D632F3">
              <w:rPr>
                <w:i/>
                <w:sz w:val="22"/>
                <w:szCs w:val="22"/>
              </w:rPr>
              <w:t>γ</w:t>
            </w:r>
            <w:r w:rsidRPr="00D632F3">
              <w:rPr>
                <w:sz w:val="22"/>
                <w:szCs w:val="22"/>
                <w:vertAlign w:val="subscript"/>
              </w:rPr>
              <w:t>0</w:t>
            </w:r>
          </w:p>
        </w:tc>
        <w:tc>
          <w:tcPr>
            <w:tcW w:w="785" w:type="pct"/>
            <w:tcBorders>
              <w:top w:val="single" w:sz="4" w:space="0" w:color="auto"/>
              <w:left w:val="single" w:sz="6"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i/>
                <w:spacing w:val="-4"/>
              </w:rPr>
            </w:pPr>
            <w:r w:rsidRPr="00D632F3">
              <w:rPr>
                <w:i/>
                <w:sz w:val="22"/>
                <w:szCs w:val="22"/>
              </w:rPr>
              <w:t>δ</w:t>
            </w:r>
            <w:r w:rsidRPr="00D632F3">
              <w:rPr>
                <w:sz w:val="22"/>
                <w:szCs w:val="22"/>
                <w:vertAlign w:val="subscript"/>
              </w:rPr>
              <w:t>0</w:t>
            </w:r>
          </w:p>
        </w:tc>
        <w:tc>
          <w:tcPr>
            <w:tcW w:w="1148" w:type="pct"/>
            <w:vMerge/>
            <w:tcBorders>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p>
        </w:tc>
      </w:tr>
      <w:tr w:rsidR="00466D27" w:rsidRPr="00D632F3" w:rsidTr="00F2650A">
        <w:trPr>
          <w:trHeight w:val="327"/>
          <w:jc w:val="center"/>
        </w:trPr>
        <w:tc>
          <w:tcPr>
            <w:tcW w:w="588" w:type="pct"/>
            <w:tcBorders>
              <w:top w:val="single" w:sz="6" w:space="0" w:color="auto"/>
              <w:left w:val="single" w:sz="6"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r w:rsidRPr="00D632F3">
              <w:rPr>
                <w:sz w:val="22"/>
                <w:szCs w:val="22"/>
                <w:lang w:val="uk-UA"/>
              </w:rPr>
              <w:t>А</w:t>
            </w:r>
          </w:p>
        </w:tc>
        <w:tc>
          <w:tcPr>
            <w:tcW w:w="1373"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vertAlign w:val="superscript"/>
                <w:lang w:val="uk-UA"/>
              </w:rPr>
            </w:pPr>
            <w:r w:rsidRPr="00D632F3">
              <w:rPr>
                <w:rFonts w:ascii="Times New Roman" w:hAnsi="Times New Roman"/>
                <w:position w:val="-32"/>
              </w:rPr>
              <w:object w:dxaOrig="2600" w:dyaOrig="740">
                <v:shape id="_x0000_i1027" type="#_x0000_t75" style="width:118.5pt;height:34.5pt" o:ole="">
                  <v:imagedata r:id="rId9" o:title=""/>
                </v:shape>
                <o:OLEObject Type="Embed" ProgID="Equation.DSMT4" ShapeID="_x0000_i1027" DrawAspect="Content" ObjectID="_1755521639" r:id="rId10"/>
              </w:object>
            </w:r>
          </w:p>
        </w:tc>
        <w:tc>
          <w:tcPr>
            <w:tcW w:w="1106"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lang w:val="uk-UA"/>
              </w:rPr>
            </w:pPr>
            <w:r w:rsidRPr="00D632F3">
              <w:rPr>
                <w:rFonts w:ascii="Times New Roman" w:hAnsi="Times New Roman"/>
                <w:position w:val="-32"/>
              </w:rPr>
              <w:object w:dxaOrig="2079" w:dyaOrig="740">
                <v:shape id="_x0000_i1028" type="#_x0000_t75" style="width:96pt;height:34.5pt" o:ole="">
                  <v:imagedata r:id="rId11" o:title=""/>
                </v:shape>
                <o:OLEObject Type="Embed" ProgID="Equation.DSMT4" ShapeID="_x0000_i1028" DrawAspect="Content" ObjectID="_1755521640" r:id="rId12"/>
              </w:object>
            </w:r>
          </w:p>
        </w:tc>
        <w:tc>
          <w:tcPr>
            <w:tcW w:w="785"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lang w:val="uk-UA"/>
              </w:rPr>
            </w:pPr>
            <w:r w:rsidRPr="00D632F3">
              <w:rPr>
                <w:rFonts w:ascii="Times New Roman" w:hAnsi="Times New Roman"/>
                <w:position w:val="-32"/>
              </w:rPr>
              <w:object w:dxaOrig="1420" w:dyaOrig="740">
                <v:shape id="_x0000_i1029" type="#_x0000_t75" style="width:66pt;height:34.5pt" o:ole="">
                  <v:imagedata r:id="rId13" o:title=""/>
                </v:shape>
                <o:OLEObject Type="Embed" ProgID="Equation.DSMT4" ShapeID="_x0000_i1029" DrawAspect="Content" ObjectID="_1755521641" r:id="rId14"/>
              </w:object>
            </w:r>
          </w:p>
        </w:tc>
        <w:tc>
          <w:tcPr>
            <w:tcW w:w="1148"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vertAlign w:val="subscript"/>
              </w:rPr>
            </w:pPr>
            <w:r w:rsidRPr="00D632F3">
              <w:rPr>
                <w:rFonts w:ascii="Times New Roman" w:hAnsi="Times New Roman"/>
                <w:position w:val="-32"/>
              </w:rPr>
              <w:object w:dxaOrig="2060" w:dyaOrig="740">
                <v:shape id="_x0000_i1030" type="#_x0000_t75" style="width:93.75pt;height:34.5pt" o:ole="">
                  <v:imagedata r:id="rId15" o:title=""/>
                </v:shape>
                <o:OLEObject Type="Embed" ProgID="Equation.DSMT4" ShapeID="_x0000_i1030" DrawAspect="Content" ObjectID="_1755521642" r:id="rId16"/>
              </w:object>
            </w:r>
          </w:p>
        </w:tc>
      </w:tr>
      <w:tr w:rsidR="00466D27" w:rsidRPr="00D632F3" w:rsidTr="00F2650A">
        <w:trPr>
          <w:trHeight w:val="337"/>
          <w:jc w:val="center"/>
        </w:trPr>
        <w:tc>
          <w:tcPr>
            <w:tcW w:w="588"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proofErr w:type="spellStart"/>
            <w:r w:rsidRPr="00D632F3">
              <w:rPr>
                <w:sz w:val="22"/>
                <w:szCs w:val="22"/>
              </w:rPr>
              <w:t>остальные</w:t>
            </w:r>
            <w:proofErr w:type="spellEnd"/>
            <w:r w:rsidRPr="00D632F3">
              <w:rPr>
                <w:sz w:val="22"/>
                <w:szCs w:val="22"/>
                <w:lang w:val="uk-UA"/>
              </w:rPr>
              <w:t xml:space="preserve"> марки</w:t>
            </w:r>
          </w:p>
        </w:tc>
        <w:tc>
          <w:tcPr>
            <w:tcW w:w="1373"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vertAlign w:val="superscript"/>
                <w:lang w:val="uk-UA"/>
              </w:rPr>
            </w:pPr>
            <w:r w:rsidRPr="00D632F3">
              <w:rPr>
                <w:position w:val="-32"/>
                <w:sz w:val="22"/>
                <w:szCs w:val="22"/>
              </w:rPr>
              <w:object w:dxaOrig="2600" w:dyaOrig="740">
                <v:shape id="_x0000_i1031" type="#_x0000_t75" style="width:118.5pt;height:34.5pt" o:ole="">
                  <v:imagedata r:id="rId17" o:title=""/>
                </v:shape>
                <o:OLEObject Type="Embed" ProgID="Equation.DSMT4" ShapeID="_x0000_i1031" DrawAspect="Content" ObjectID="_1755521643" r:id="rId18"/>
              </w:object>
            </w:r>
          </w:p>
        </w:tc>
        <w:tc>
          <w:tcPr>
            <w:tcW w:w="1106"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r w:rsidRPr="00D632F3">
              <w:rPr>
                <w:position w:val="-32"/>
                <w:sz w:val="22"/>
                <w:szCs w:val="22"/>
              </w:rPr>
              <w:object w:dxaOrig="1420" w:dyaOrig="740">
                <v:shape id="_x0000_i1032" type="#_x0000_t75" style="width:61.5pt;height:34.5pt" o:ole="">
                  <v:imagedata r:id="rId19" o:title=""/>
                </v:shape>
                <o:OLEObject Type="Embed" ProgID="Equation.DSMT4" ShapeID="_x0000_i1032" DrawAspect="Content" ObjectID="_1755521644" r:id="rId20"/>
              </w:object>
            </w:r>
          </w:p>
        </w:tc>
        <w:tc>
          <w:tcPr>
            <w:tcW w:w="785"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lang w:val="uk-UA"/>
              </w:rPr>
            </w:pPr>
            <w:r w:rsidRPr="00D632F3">
              <w:rPr>
                <w:rFonts w:ascii="Times New Roman" w:hAnsi="Times New Roman"/>
                <w:position w:val="-32"/>
              </w:rPr>
              <w:object w:dxaOrig="1420" w:dyaOrig="740">
                <v:shape id="_x0000_i1033" type="#_x0000_t75" style="width:61.5pt;height:34.5pt" o:ole="">
                  <v:imagedata r:id="rId21" o:title=""/>
                </v:shape>
                <o:OLEObject Type="Embed" ProgID="Equation.DSMT4" ShapeID="_x0000_i1033" DrawAspect="Content" ObjectID="_1755521645" r:id="rId22"/>
              </w:object>
            </w:r>
          </w:p>
        </w:tc>
        <w:tc>
          <w:tcPr>
            <w:tcW w:w="1148"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vertAlign w:val="subscript"/>
              </w:rPr>
            </w:pPr>
            <w:r w:rsidRPr="00D632F3">
              <w:rPr>
                <w:position w:val="-32"/>
                <w:sz w:val="22"/>
                <w:szCs w:val="22"/>
              </w:rPr>
              <w:object w:dxaOrig="2060" w:dyaOrig="740">
                <v:shape id="_x0000_i1034" type="#_x0000_t75" style="width:93.75pt;height:34.5pt" o:ole="">
                  <v:imagedata r:id="rId23" o:title=""/>
                </v:shape>
                <o:OLEObject Type="Embed" ProgID="Equation.DSMT4" ShapeID="_x0000_i1034" DrawAspect="Content" ObjectID="_1755521646" r:id="rId24"/>
              </w:object>
            </w:r>
          </w:p>
        </w:tc>
      </w:tr>
      <w:tr w:rsidR="00466D27" w:rsidRPr="00D632F3" w:rsidTr="00F2650A">
        <w:trPr>
          <w:trHeight w:val="164"/>
          <w:jc w:val="center"/>
        </w:trPr>
        <w:tc>
          <w:tcPr>
            <w:tcW w:w="5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r>
              <w:br w:type="page"/>
            </w:r>
          </w:p>
        </w:tc>
        <w:tc>
          <w:tcPr>
            <w:tcW w:w="441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proofErr w:type="spellStart"/>
            <w:r w:rsidRPr="00D632F3">
              <w:rPr>
                <w:sz w:val="22"/>
                <w:szCs w:val="22"/>
              </w:rPr>
              <w:t>Углы</w:t>
            </w:r>
            <w:proofErr w:type="spellEnd"/>
            <w:r w:rsidRPr="00D632F3">
              <w:rPr>
                <w:sz w:val="22"/>
                <w:szCs w:val="22"/>
              </w:rPr>
              <w:t xml:space="preserve"> </w:t>
            </w:r>
            <w:proofErr w:type="spellStart"/>
            <w:r w:rsidRPr="00D632F3">
              <w:rPr>
                <w:sz w:val="22"/>
                <w:szCs w:val="22"/>
              </w:rPr>
              <w:t>полных</w:t>
            </w:r>
            <w:proofErr w:type="spellEnd"/>
            <w:r w:rsidRPr="00D632F3">
              <w:rPr>
                <w:sz w:val="22"/>
                <w:szCs w:val="22"/>
              </w:rPr>
              <w:t xml:space="preserve"> </w:t>
            </w:r>
            <w:proofErr w:type="spellStart"/>
            <w:r w:rsidRPr="00D632F3">
              <w:rPr>
                <w:sz w:val="22"/>
                <w:szCs w:val="22"/>
              </w:rPr>
              <w:t>сдвижений</w:t>
            </w:r>
            <w:proofErr w:type="spellEnd"/>
          </w:p>
        </w:tc>
      </w:tr>
      <w:tr w:rsidR="00466D27" w:rsidRPr="00D632F3" w:rsidTr="00F2650A">
        <w:trPr>
          <w:trHeight w:val="198"/>
          <w:jc w:val="center"/>
        </w:trPr>
        <w:tc>
          <w:tcPr>
            <w:tcW w:w="5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p>
        </w:tc>
        <w:tc>
          <w:tcPr>
            <w:tcW w:w="1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sz w:val="22"/>
                <w:szCs w:val="22"/>
              </w:rPr>
              <w:t xml:space="preserve">у </w:t>
            </w:r>
            <w:proofErr w:type="spellStart"/>
            <w:r w:rsidRPr="00D632F3">
              <w:rPr>
                <w:sz w:val="22"/>
                <w:szCs w:val="22"/>
              </w:rPr>
              <w:t>нижней</w:t>
            </w:r>
            <w:proofErr w:type="spellEnd"/>
            <w:r w:rsidRPr="00D632F3">
              <w:rPr>
                <w:sz w:val="22"/>
                <w:szCs w:val="22"/>
              </w:rPr>
              <w:t xml:space="preserve"> </w:t>
            </w:r>
            <w:proofErr w:type="spellStart"/>
            <w:r w:rsidRPr="00D632F3">
              <w:rPr>
                <w:sz w:val="22"/>
                <w:szCs w:val="22"/>
              </w:rPr>
              <w:t>границы</w:t>
            </w:r>
            <w:proofErr w:type="spellEnd"/>
          </w:p>
          <w:p w:rsidR="00466D27" w:rsidRPr="00D632F3" w:rsidRDefault="00466D27" w:rsidP="00F2650A">
            <w:pPr>
              <w:suppressAutoHyphens/>
              <w:jc w:val="center"/>
            </w:pPr>
            <w:r w:rsidRPr="00D632F3">
              <w:rPr>
                <w:i/>
                <w:sz w:val="22"/>
                <w:szCs w:val="22"/>
              </w:rPr>
              <w:t>ψ</w:t>
            </w:r>
            <w:r w:rsidRPr="00D632F3">
              <w:rPr>
                <w:sz w:val="22"/>
                <w:szCs w:val="22"/>
                <w:vertAlign w:val="subscript"/>
              </w:rPr>
              <w:t>1</w:t>
            </w:r>
          </w:p>
        </w:tc>
        <w:tc>
          <w:tcPr>
            <w:tcW w:w="11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sz w:val="22"/>
                <w:szCs w:val="22"/>
              </w:rPr>
              <w:t xml:space="preserve">у </w:t>
            </w:r>
            <w:proofErr w:type="spellStart"/>
            <w:r w:rsidRPr="00D632F3">
              <w:rPr>
                <w:sz w:val="22"/>
                <w:szCs w:val="22"/>
              </w:rPr>
              <w:t>верхней</w:t>
            </w:r>
            <w:proofErr w:type="spellEnd"/>
            <w:r w:rsidRPr="00D632F3">
              <w:rPr>
                <w:sz w:val="22"/>
                <w:szCs w:val="22"/>
              </w:rPr>
              <w:t xml:space="preserve"> </w:t>
            </w:r>
            <w:proofErr w:type="spellStart"/>
            <w:r w:rsidRPr="00D632F3">
              <w:rPr>
                <w:sz w:val="22"/>
                <w:szCs w:val="22"/>
              </w:rPr>
              <w:t>границы</w:t>
            </w:r>
            <w:proofErr w:type="spellEnd"/>
          </w:p>
          <w:p w:rsidR="00466D27" w:rsidRPr="00D632F3" w:rsidRDefault="00466D27" w:rsidP="00F2650A">
            <w:pPr>
              <w:suppressAutoHyphens/>
              <w:jc w:val="center"/>
            </w:pPr>
            <w:r w:rsidRPr="00D632F3">
              <w:rPr>
                <w:i/>
                <w:sz w:val="22"/>
                <w:szCs w:val="22"/>
              </w:rPr>
              <w:t>ψ</w:t>
            </w:r>
            <w:r w:rsidRPr="00D632F3">
              <w:rPr>
                <w:sz w:val="22"/>
                <w:szCs w:val="22"/>
                <w:vertAlign w:val="subscript"/>
              </w:rPr>
              <w:t>2</w:t>
            </w:r>
          </w:p>
        </w:tc>
        <w:tc>
          <w:tcPr>
            <w:tcW w:w="193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proofErr w:type="spellStart"/>
            <w:r w:rsidRPr="00D632F3">
              <w:rPr>
                <w:sz w:val="22"/>
                <w:szCs w:val="22"/>
              </w:rPr>
              <w:t>по</w:t>
            </w:r>
            <w:proofErr w:type="spellEnd"/>
            <w:r w:rsidRPr="00D632F3">
              <w:rPr>
                <w:sz w:val="22"/>
                <w:szCs w:val="22"/>
              </w:rPr>
              <w:t xml:space="preserve"> </w:t>
            </w:r>
            <w:proofErr w:type="spellStart"/>
            <w:r w:rsidRPr="00D632F3">
              <w:rPr>
                <w:sz w:val="22"/>
                <w:szCs w:val="22"/>
              </w:rPr>
              <w:t>простиранию</w:t>
            </w:r>
            <w:proofErr w:type="spellEnd"/>
          </w:p>
          <w:p w:rsidR="00466D27" w:rsidRPr="00D632F3" w:rsidRDefault="00466D27" w:rsidP="00F2650A">
            <w:pPr>
              <w:suppressAutoHyphens/>
              <w:jc w:val="center"/>
            </w:pPr>
            <w:r w:rsidRPr="00D632F3">
              <w:rPr>
                <w:i/>
                <w:sz w:val="22"/>
                <w:szCs w:val="22"/>
              </w:rPr>
              <w:t>ψ</w:t>
            </w:r>
            <w:r w:rsidRPr="00D632F3">
              <w:rPr>
                <w:sz w:val="22"/>
                <w:szCs w:val="22"/>
                <w:vertAlign w:val="subscript"/>
              </w:rPr>
              <w:t>3</w:t>
            </w:r>
          </w:p>
        </w:tc>
      </w:tr>
      <w:tr w:rsidR="00466D27" w:rsidRPr="00D632F3" w:rsidTr="00F2650A">
        <w:trPr>
          <w:trHeight w:val="99"/>
          <w:jc w:val="center"/>
        </w:trPr>
        <w:tc>
          <w:tcPr>
            <w:tcW w:w="5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r w:rsidRPr="00D632F3">
              <w:rPr>
                <w:sz w:val="22"/>
                <w:szCs w:val="22"/>
                <w:lang w:val="uk-UA"/>
              </w:rPr>
              <w:t>А</w:t>
            </w:r>
          </w:p>
        </w:tc>
        <w:tc>
          <w:tcPr>
            <w:tcW w:w="1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vertAlign w:val="subscript"/>
              </w:rPr>
            </w:pPr>
            <w:r w:rsidRPr="00D632F3">
              <w:rPr>
                <w:position w:val="-10"/>
                <w:sz w:val="22"/>
                <w:szCs w:val="22"/>
              </w:rPr>
              <w:object w:dxaOrig="1260" w:dyaOrig="380">
                <v:shape id="_x0000_i1035" type="#_x0000_t75" style="width:59.25pt;height:18pt" o:ole="">
                  <v:imagedata r:id="rId25" o:title=""/>
                </v:shape>
                <o:OLEObject Type="Embed" ProgID="Equation.DSMT4" ShapeID="_x0000_i1035" DrawAspect="Content" ObjectID="_1755521647" r:id="rId26"/>
              </w:object>
            </w:r>
          </w:p>
        </w:tc>
        <w:tc>
          <w:tcPr>
            <w:tcW w:w="11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920" w:dyaOrig="380">
                <v:shape id="_x0000_i1036" type="#_x0000_t75" style="width:92.25pt;height:18.75pt" o:ole="">
                  <v:imagedata r:id="rId27" o:title=""/>
                </v:shape>
                <o:OLEObject Type="Embed" ProgID="Equation.DSMT4" ShapeID="_x0000_i1036" DrawAspect="Content" ObjectID="_1755521648" r:id="rId28"/>
              </w:object>
            </w:r>
          </w:p>
        </w:tc>
        <w:tc>
          <w:tcPr>
            <w:tcW w:w="193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260" w:dyaOrig="380">
                <v:shape id="_x0000_i1037" type="#_x0000_t75" style="width:60pt;height:18pt" o:ole="">
                  <v:imagedata r:id="rId29" o:title=""/>
                </v:shape>
                <o:OLEObject Type="Embed" ProgID="Equation.DSMT4" ShapeID="_x0000_i1037" DrawAspect="Content" ObjectID="_1755521649" r:id="rId30"/>
              </w:object>
            </w:r>
          </w:p>
        </w:tc>
      </w:tr>
      <w:tr w:rsidR="00466D27" w:rsidRPr="00D632F3" w:rsidTr="00F2650A">
        <w:trPr>
          <w:trHeight w:val="261"/>
          <w:jc w:val="center"/>
        </w:trPr>
        <w:tc>
          <w:tcPr>
            <w:tcW w:w="5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proofErr w:type="spellStart"/>
            <w:r w:rsidRPr="00D632F3">
              <w:rPr>
                <w:sz w:val="22"/>
                <w:szCs w:val="22"/>
              </w:rPr>
              <w:t>остальные</w:t>
            </w:r>
            <w:proofErr w:type="spellEnd"/>
            <w:r w:rsidRPr="00D632F3">
              <w:rPr>
                <w:sz w:val="22"/>
                <w:szCs w:val="22"/>
                <w:lang w:val="uk-UA"/>
              </w:rPr>
              <w:t xml:space="preserve"> марки</w:t>
            </w:r>
          </w:p>
        </w:tc>
        <w:tc>
          <w:tcPr>
            <w:tcW w:w="1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260" w:dyaOrig="380">
                <v:shape id="_x0000_i1038" type="#_x0000_t75" style="width:59.25pt;height:18pt" o:ole="">
                  <v:imagedata r:id="rId31" o:title=""/>
                </v:shape>
                <o:OLEObject Type="Embed" ProgID="Equation.DSMT4" ShapeID="_x0000_i1038" DrawAspect="Content" ObjectID="_1755521650" r:id="rId32"/>
              </w:object>
            </w:r>
          </w:p>
        </w:tc>
        <w:tc>
          <w:tcPr>
            <w:tcW w:w="11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920" w:dyaOrig="380">
                <v:shape id="_x0000_i1039" type="#_x0000_t75" style="width:92.25pt;height:18.75pt" o:ole="">
                  <v:imagedata r:id="rId33" o:title=""/>
                </v:shape>
                <o:OLEObject Type="Embed" ProgID="Equation.DSMT4" ShapeID="_x0000_i1039" DrawAspect="Content" ObjectID="_1755521651" r:id="rId34"/>
              </w:object>
            </w:r>
          </w:p>
        </w:tc>
        <w:tc>
          <w:tcPr>
            <w:tcW w:w="193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260" w:dyaOrig="380">
                <v:shape id="_x0000_i1040" type="#_x0000_t75" style="width:60.75pt;height:18.75pt" o:ole="">
                  <v:imagedata r:id="rId35" o:title=""/>
                </v:shape>
                <o:OLEObject Type="Embed" ProgID="Equation.DSMT4" ShapeID="_x0000_i1040" DrawAspect="Content" ObjectID="_1755521652" r:id="rId36"/>
              </w:object>
            </w:r>
          </w:p>
        </w:tc>
      </w:tr>
    </w:tbl>
    <w:p w:rsidR="00466D27" w:rsidRPr="007A71C1" w:rsidRDefault="00466D27" w:rsidP="00810B1D">
      <w:pPr>
        <w:suppressAutoHyphens/>
        <w:spacing w:before="120"/>
        <w:ind w:firstLine="712"/>
        <w:jc w:val="both"/>
        <w:rPr>
          <w:i/>
          <w:sz w:val="20"/>
          <w:szCs w:val="20"/>
          <w:lang w:val="ru-RU"/>
        </w:rPr>
      </w:pPr>
      <w:r w:rsidRPr="007A71C1">
        <w:rPr>
          <w:i/>
          <w:sz w:val="20"/>
          <w:szCs w:val="20"/>
          <w:lang w:val="ru-RU"/>
        </w:rPr>
        <w:t xml:space="preserve">Примечания: </w:t>
      </w:r>
    </w:p>
    <w:p w:rsidR="00466D27" w:rsidRPr="007A71C1" w:rsidRDefault="00466D27" w:rsidP="00810B1D">
      <w:pPr>
        <w:suppressAutoHyphens/>
        <w:ind w:firstLine="712"/>
        <w:jc w:val="both"/>
        <w:rPr>
          <w:spacing w:val="-2"/>
          <w:sz w:val="20"/>
          <w:szCs w:val="20"/>
          <w:lang w:val="ru-RU"/>
        </w:rPr>
      </w:pPr>
      <w:r w:rsidRPr="007A71C1">
        <w:rPr>
          <w:spacing w:val="-2"/>
          <w:sz w:val="20"/>
          <w:szCs w:val="20"/>
          <w:lang w:val="ru-RU"/>
        </w:rPr>
        <w:t>1)</w:t>
      </w:r>
      <w:r w:rsidRPr="00016B18">
        <w:rPr>
          <w:i/>
          <w:spacing w:val="-2"/>
          <w:sz w:val="20"/>
          <w:szCs w:val="20"/>
        </w:rPr>
        <w:t> </w:t>
      </w:r>
      <w:r w:rsidRPr="007A71C1">
        <w:rPr>
          <w:spacing w:val="-2"/>
          <w:sz w:val="20"/>
          <w:szCs w:val="20"/>
          <w:lang w:val="ru-RU"/>
        </w:rPr>
        <w:t xml:space="preserve">в числителе приведены выражения для </w:t>
      </w:r>
      <w:proofErr w:type="spellStart"/>
      <w:r w:rsidRPr="007A71C1">
        <w:rPr>
          <w:spacing w:val="-2"/>
          <w:sz w:val="20"/>
          <w:szCs w:val="20"/>
          <w:lang w:val="ru-RU"/>
        </w:rPr>
        <w:t>неподработанной</w:t>
      </w:r>
      <w:proofErr w:type="spellEnd"/>
      <w:r w:rsidRPr="007A71C1">
        <w:rPr>
          <w:spacing w:val="-2"/>
          <w:sz w:val="20"/>
          <w:szCs w:val="20"/>
          <w:lang w:val="ru-RU"/>
        </w:rPr>
        <w:t xml:space="preserve"> толщи, в знаменателе — для подработанной;</w:t>
      </w:r>
    </w:p>
    <w:p w:rsidR="00466D27" w:rsidRPr="007A71C1" w:rsidRDefault="00466D27" w:rsidP="00810B1D">
      <w:pPr>
        <w:suppressAutoHyphens/>
        <w:ind w:firstLine="712"/>
        <w:jc w:val="both"/>
        <w:rPr>
          <w:sz w:val="20"/>
          <w:szCs w:val="20"/>
          <w:lang w:val="ru-RU"/>
        </w:rPr>
      </w:pPr>
      <w:r w:rsidRPr="007A71C1">
        <w:rPr>
          <w:sz w:val="20"/>
          <w:szCs w:val="20"/>
          <w:lang w:val="ru-RU"/>
        </w:rPr>
        <w:t>2)</w:t>
      </w:r>
      <w:r w:rsidRPr="00016B18">
        <w:rPr>
          <w:sz w:val="20"/>
          <w:szCs w:val="20"/>
        </w:rPr>
        <w:t> </w:t>
      </w:r>
      <w:r w:rsidRPr="007A71C1">
        <w:rPr>
          <w:i/>
          <w:sz w:val="20"/>
          <w:szCs w:val="20"/>
          <w:lang w:val="ru-RU"/>
        </w:rPr>
        <w:t>К</w:t>
      </w:r>
      <w:r w:rsidRPr="007A71C1">
        <w:rPr>
          <w:i/>
          <w:sz w:val="20"/>
          <w:szCs w:val="20"/>
          <w:vertAlign w:val="subscript"/>
          <w:lang w:val="ru-RU"/>
        </w:rPr>
        <w:t>У</w:t>
      </w:r>
      <w:r w:rsidRPr="007A71C1">
        <w:rPr>
          <w:sz w:val="20"/>
          <w:szCs w:val="20"/>
          <w:lang w:val="ru-RU"/>
        </w:rPr>
        <w:t xml:space="preserve"> — коэффициент увеличения улов с возрастанием глубины (при </w:t>
      </w:r>
      <w:proofErr w:type="gramStart"/>
      <w:r w:rsidRPr="007A71C1">
        <w:rPr>
          <w:i/>
          <w:sz w:val="20"/>
          <w:szCs w:val="20"/>
          <w:lang w:val="ru-RU"/>
        </w:rPr>
        <w:t>Н</w:t>
      </w:r>
      <w:r w:rsidRPr="00016B18">
        <w:rPr>
          <w:sz w:val="20"/>
          <w:szCs w:val="20"/>
          <w:vertAlign w:val="subscript"/>
        </w:rPr>
        <w:t> </w:t>
      </w:r>
      <w:r w:rsidRPr="007A71C1">
        <w:rPr>
          <w:sz w:val="20"/>
          <w:szCs w:val="20"/>
          <w:lang w:val="ru-RU"/>
        </w:rPr>
        <w:t>&gt;</w:t>
      </w:r>
      <w:proofErr w:type="gramEnd"/>
      <w:r w:rsidRPr="00016B18">
        <w:rPr>
          <w:sz w:val="20"/>
          <w:szCs w:val="20"/>
          <w:vertAlign w:val="subscript"/>
        </w:rPr>
        <w:t> </w:t>
      </w:r>
      <w:r w:rsidRPr="007A71C1">
        <w:rPr>
          <w:sz w:val="20"/>
          <w:szCs w:val="20"/>
          <w:lang w:val="ru-RU"/>
        </w:rPr>
        <w:t>600 м.</w:t>
      </w:r>
    </w:p>
    <w:p w:rsidR="00466D27" w:rsidRDefault="00466D27" w:rsidP="00577502">
      <w:pPr>
        <w:jc w:val="both"/>
        <w:rPr>
          <w:lang w:val="ru-RU" w:eastAsia="en-US"/>
        </w:rPr>
      </w:pPr>
    </w:p>
    <w:p w:rsidR="00466D27" w:rsidRPr="002D4971" w:rsidRDefault="00466D27" w:rsidP="002D4971">
      <w:pPr>
        <w:ind w:firstLine="709"/>
        <w:jc w:val="both"/>
        <w:rPr>
          <w:lang w:val="ru-RU"/>
        </w:rPr>
      </w:pPr>
      <w:r w:rsidRPr="002D4971">
        <w:rPr>
          <w:lang w:val="ru-RU"/>
        </w:rPr>
        <w:t>Для расчета степени инвестиционного риска (</w:t>
      </w:r>
      <w:r w:rsidRPr="002D4971">
        <w:t>R</w:t>
      </w:r>
      <w:r w:rsidRPr="002D4971">
        <w:rPr>
          <w:lang w:val="ru-RU"/>
        </w:rPr>
        <w:t>) предлагаются следующие формулы:</w:t>
      </w:r>
    </w:p>
    <w:p w:rsidR="00466D27" w:rsidRPr="002D4971" w:rsidRDefault="00466D27" w:rsidP="002D4971">
      <w:pPr>
        <w:tabs>
          <w:tab w:val="center" w:pos="4820"/>
          <w:tab w:val="right" w:pos="9639"/>
        </w:tabs>
        <w:spacing w:before="120" w:after="120"/>
        <w:rPr>
          <w:lang w:val="ru-RU"/>
        </w:rPr>
      </w:pPr>
      <w:r w:rsidRPr="002D4971">
        <w:rPr>
          <w:lang w:val="ru-RU"/>
        </w:rPr>
        <w:tab/>
      </w:r>
      <w:r w:rsidRPr="002D4971">
        <w:rPr>
          <w:position w:val="-10"/>
        </w:rPr>
        <w:object w:dxaOrig="2100" w:dyaOrig="400">
          <v:shape id="_x0000_i1041" type="#_x0000_t75" style="width:105pt;height:20.25pt" o:ole="">
            <v:imagedata r:id="rId37" o:title=""/>
          </v:shape>
          <o:OLEObject Type="Embed" ProgID="Equation.DSMT4" ShapeID="_x0000_i1041" DrawAspect="Content" ObjectID="_1755521653" r:id="rId38"/>
        </w:object>
      </w:r>
      <w:r w:rsidRPr="002D4971">
        <w:rPr>
          <w:lang w:val="ru-RU"/>
        </w:rPr>
        <w:tab/>
        <w:t>(1)</w:t>
      </w:r>
    </w:p>
    <w:p w:rsidR="00466D27" w:rsidRPr="002D4971" w:rsidRDefault="00466D27" w:rsidP="002D4971">
      <w:pPr>
        <w:tabs>
          <w:tab w:val="center" w:pos="4820"/>
          <w:tab w:val="right" w:pos="9639"/>
        </w:tabs>
        <w:spacing w:before="120" w:after="120"/>
        <w:rPr>
          <w:lang w:val="ru-RU"/>
        </w:rPr>
      </w:pPr>
      <w:r w:rsidRPr="002D4971">
        <w:rPr>
          <w:lang w:val="ru-RU"/>
        </w:rPr>
        <w:tab/>
      </w:r>
      <w:r w:rsidRPr="002D4971">
        <w:rPr>
          <w:position w:val="-30"/>
        </w:rPr>
        <w:object w:dxaOrig="2380" w:dyaOrig="740">
          <v:shape id="_x0000_i1042" type="#_x0000_t75" style="width:119.25pt;height:36.75pt" o:ole="">
            <v:imagedata r:id="rId39" o:title=""/>
          </v:shape>
          <o:OLEObject Type="Embed" ProgID="Equation.DSMT4" ShapeID="_x0000_i1042" DrawAspect="Content" ObjectID="_1755521654" r:id="rId40"/>
        </w:object>
      </w:r>
      <w:r w:rsidRPr="002D4971">
        <w:rPr>
          <w:lang w:val="ru-RU"/>
        </w:rPr>
        <w:tab/>
        <w:t>(2)</w:t>
      </w:r>
    </w:p>
    <w:p w:rsidR="00466D27" w:rsidRPr="002D4971" w:rsidRDefault="00466D27" w:rsidP="002D4971">
      <w:pPr>
        <w:tabs>
          <w:tab w:val="center" w:pos="4820"/>
          <w:tab w:val="right" w:pos="9639"/>
        </w:tabs>
        <w:spacing w:before="120" w:after="120"/>
        <w:rPr>
          <w:lang w:val="ru-RU"/>
        </w:rPr>
      </w:pPr>
      <w:r w:rsidRPr="002D4971">
        <w:rPr>
          <w:lang w:val="ru-RU"/>
        </w:rPr>
        <w:tab/>
      </w:r>
      <w:r w:rsidRPr="002D4971">
        <w:rPr>
          <w:position w:val="-24"/>
        </w:rPr>
        <w:object w:dxaOrig="1160" w:dyaOrig="620">
          <v:shape id="_x0000_i1043" type="#_x0000_t75" style="width:57.75pt;height:30.75pt" o:ole="">
            <v:imagedata r:id="rId41" o:title=""/>
          </v:shape>
          <o:OLEObject Type="Embed" ProgID="Equation.DSMT4" ShapeID="_x0000_i1043" DrawAspect="Content" ObjectID="_1755521655" r:id="rId42"/>
        </w:object>
      </w:r>
      <w:r w:rsidRPr="002D4971">
        <w:rPr>
          <w:lang w:val="ru-RU"/>
        </w:rPr>
        <w:tab/>
        <w:t>(3)</w:t>
      </w:r>
    </w:p>
    <w:p w:rsidR="00466D27" w:rsidRPr="002D4971" w:rsidRDefault="00466D27" w:rsidP="002D4971">
      <w:pPr>
        <w:tabs>
          <w:tab w:val="left" w:pos="1134"/>
        </w:tabs>
        <w:ind w:firstLine="709"/>
        <w:jc w:val="both"/>
        <w:rPr>
          <w:lang w:val="ru-RU"/>
        </w:rPr>
      </w:pPr>
      <w:r w:rsidRPr="002D4971">
        <w:rPr>
          <w:lang w:val="ru-RU"/>
        </w:rPr>
        <w:t xml:space="preserve">где </w:t>
      </w:r>
      <w:r w:rsidRPr="00834526">
        <w:rPr>
          <w:i/>
        </w:rPr>
        <w:t>R</w:t>
      </w:r>
      <w:r w:rsidRPr="002D4971">
        <w:rPr>
          <w:vertAlign w:val="superscript"/>
          <w:lang w:val="ru-RU"/>
        </w:rPr>
        <w:t>*</w:t>
      </w:r>
      <w:r w:rsidRPr="002D4971">
        <w:rPr>
          <w:lang w:val="ru-RU"/>
        </w:rPr>
        <w:t xml:space="preserve"> — степень риска без учета фактора времени; </w:t>
      </w:r>
    </w:p>
    <w:p w:rsidR="00466D27" w:rsidRPr="002D4971" w:rsidRDefault="00466D27" w:rsidP="00323989">
      <w:pPr>
        <w:ind w:left="1100"/>
        <w:jc w:val="both"/>
        <w:rPr>
          <w:lang w:val="ru-RU"/>
        </w:rPr>
      </w:pPr>
      <w:r w:rsidRPr="00834526">
        <w:rPr>
          <w:i/>
        </w:rPr>
        <w:t>F</w:t>
      </w:r>
      <w:r w:rsidRPr="002D4971">
        <w:rPr>
          <w:lang w:val="ru-RU"/>
        </w:rPr>
        <w:t xml:space="preserve"> — функция, учитывающая повышение степени риска при удалении сроков получения результата; </w:t>
      </w:r>
    </w:p>
    <w:p w:rsidR="00466D27" w:rsidRDefault="00466D27" w:rsidP="00323989">
      <w:pPr>
        <w:ind w:left="1100"/>
        <w:jc w:val="both"/>
        <w:rPr>
          <w:lang w:val="ru-RU"/>
        </w:rPr>
      </w:pPr>
      <w:r w:rsidRPr="00834526">
        <w:rPr>
          <w:i/>
          <w:lang w:val="ru-RU"/>
        </w:rPr>
        <w:t>А</w:t>
      </w:r>
      <w:r w:rsidRPr="002D4971">
        <w:rPr>
          <w:lang w:val="ru-RU"/>
        </w:rPr>
        <w:t xml:space="preserve"> — коэффициент, учитывающий стабильность экономического положения страны (А</w:t>
      </w:r>
      <w:r w:rsidRPr="002D4971">
        <w:rPr>
          <w:vertAlign w:val="subscript"/>
          <w:lang w:val="ru-RU"/>
        </w:rPr>
        <w:t> </w:t>
      </w:r>
      <w:r w:rsidRPr="002D4971">
        <w:sym w:font="Symbol" w:char="F0BB"/>
      </w:r>
      <w:r w:rsidRPr="002D4971">
        <w:rPr>
          <w:vertAlign w:val="subscript"/>
          <w:lang w:val="ru-RU"/>
        </w:rPr>
        <w:t> </w:t>
      </w:r>
      <w:r w:rsidRPr="002D4971">
        <w:rPr>
          <w:lang w:val="ru-RU"/>
        </w:rPr>
        <w:t>2 для условий нестабильности; А</w:t>
      </w:r>
      <w:r w:rsidRPr="002D4971">
        <w:rPr>
          <w:vertAlign w:val="subscript"/>
          <w:lang w:val="ru-RU"/>
        </w:rPr>
        <w:t> </w:t>
      </w:r>
      <w:r w:rsidRPr="002D4971">
        <w:sym w:font="Symbol" w:char="F0BB"/>
      </w:r>
      <w:r w:rsidRPr="002D4971">
        <w:rPr>
          <w:vertAlign w:val="subscript"/>
          <w:lang w:val="ru-RU"/>
        </w:rPr>
        <w:t> </w:t>
      </w:r>
      <w:r w:rsidRPr="002D4971">
        <w:rPr>
          <w:lang w:val="ru-RU"/>
        </w:rPr>
        <w:t>10 для обычных условий и А</w:t>
      </w:r>
      <w:r w:rsidRPr="002D4971">
        <w:rPr>
          <w:vertAlign w:val="subscript"/>
          <w:lang w:val="ru-RU"/>
        </w:rPr>
        <w:t> </w:t>
      </w:r>
      <w:r w:rsidRPr="002D4971">
        <w:sym w:font="Symbol" w:char="F0BB"/>
      </w:r>
      <w:r w:rsidRPr="002D4971">
        <w:rPr>
          <w:vertAlign w:val="subscript"/>
          <w:lang w:val="ru-RU"/>
        </w:rPr>
        <w:t> </w:t>
      </w:r>
      <w:r w:rsidRPr="002D4971">
        <w:rPr>
          <w:lang w:val="ru-RU"/>
        </w:rPr>
        <w:t>20 для стран с наиболее устойчивой экономикой).</w:t>
      </w:r>
    </w:p>
    <w:p w:rsidR="00466D27" w:rsidRDefault="00466D27" w:rsidP="002D4971">
      <w:pPr>
        <w:pStyle w:val="a9"/>
        <w:spacing w:line="240" w:lineRule="auto"/>
        <w:ind w:firstLine="709"/>
        <w:rPr>
          <w:w w:val="100"/>
          <w:sz w:val="24"/>
          <w:szCs w:val="24"/>
        </w:rPr>
      </w:pPr>
      <w:r w:rsidRPr="007806AB">
        <w:rPr>
          <w:w w:val="100"/>
          <w:sz w:val="24"/>
          <w:szCs w:val="24"/>
        </w:rPr>
        <w:t>Использование выполненных разработок на действующих промышленных предприятиях может быть рекомендовано для планирования мероприятий по повышению их конкурентоспособности в будущем, т.</w:t>
      </w:r>
      <w:r>
        <w:rPr>
          <w:w w:val="100"/>
          <w:sz w:val="24"/>
          <w:szCs w:val="24"/>
        </w:rPr>
        <w:t> </w:t>
      </w:r>
      <w:r w:rsidRPr="007806AB">
        <w:rPr>
          <w:w w:val="100"/>
          <w:sz w:val="24"/>
          <w:szCs w:val="24"/>
        </w:rPr>
        <w:t>е., для разработки тактических стратегических планов. Также они могут быть использованы как составная часть единого комплекса учета, анализа, прогнозирования и планирования основных направлений деятельности предприятия.</w:t>
      </w:r>
    </w:p>
    <w:p w:rsidR="00466D27" w:rsidRDefault="00466D27" w:rsidP="002D4971">
      <w:pPr>
        <w:pStyle w:val="a9"/>
        <w:spacing w:line="240" w:lineRule="auto"/>
        <w:ind w:firstLine="709"/>
        <w:rPr>
          <w:b/>
          <w:i/>
          <w:w w:val="100"/>
          <w:sz w:val="22"/>
          <w:szCs w:val="22"/>
        </w:rPr>
      </w:pPr>
    </w:p>
    <w:p w:rsidR="00466D27" w:rsidRPr="00B44B33" w:rsidRDefault="00466D27" w:rsidP="002D4971">
      <w:pPr>
        <w:pStyle w:val="a9"/>
        <w:spacing w:line="240" w:lineRule="auto"/>
        <w:ind w:firstLine="709"/>
        <w:rPr>
          <w:i/>
          <w:w w:val="100"/>
          <w:sz w:val="22"/>
          <w:szCs w:val="22"/>
        </w:rPr>
      </w:pPr>
      <w:r w:rsidRPr="00B44B33">
        <w:rPr>
          <w:b/>
          <w:i/>
          <w:w w:val="100"/>
          <w:sz w:val="22"/>
          <w:szCs w:val="22"/>
        </w:rPr>
        <w:t>Финансирование:</w:t>
      </w:r>
      <w:r w:rsidRPr="00B44B33">
        <w:rPr>
          <w:i/>
          <w:w w:val="100"/>
          <w:sz w:val="22"/>
          <w:szCs w:val="22"/>
        </w:rPr>
        <w:t xml:space="preserve"> работа выполнена при финансовой поддержке Минобрнауки РФ в соответствии с дополнительным соглашением о предоставлении субсидии из Федерального бюджета на финансовое обеспечение выполнения государственного задания на оказание государственных услуг (внутренний номер 075-ГЗ/Х4141/687/3).</w:t>
      </w:r>
    </w:p>
    <w:p w:rsidR="00466D27" w:rsidRPr="007A71C1" w:rsidRDefault="00466D27" w:rsidP="00101489">
      <w:pPr>
        <w:spacing w:before="240" w:after="240"/>
        <w:jc w:val="center"/>
        <w:rPr>
          <w:b/>
          <w:bCs/>
          <w:iCs/>
          <w:sz w:val="22"/>
          <w:szCs w:val="22"/>
        </w:rPr>
      </w:pPr>
      <w:r w:rsidRPr="00E247FB">
        <w:rPr>
          <w:b/>
          <w:bCs/>
          <w:iCs/>
          <w:sz w:val="22"/>
          <w:szCs w:val="22"/>
          <w:lang w:val="ru-RU"/>
        </w:rPr>
        <w:t>Список</w:t>
      </w:r>
      <w:r w:rsidRPr="007A71C1">
        <w:rPr>
          <w:b/>
          <w:bCs/>
          <w:iCs/>
          <w:sz w:val="22"/>
          <w:szCs w:val="22"/>
        </w:rPr>
        <w:t xml:space="preserve"> </w:t>
      </w:r>
      <w:r w:rsidRPr="00E247FB">
        <w:rPr>
          <w:b/>
          <w:bCs/>
          <w:iCs/>
          <w:sz w:val="22"/>
          <w:szCs w:val="22"/>
          <w:lang w:val="ru-RU"/>
        </w:rPr>
        <w:t>литературы</w:t>
      </w:r>
    </w:p>
    <w:p w:rsidR="00466D27" w:rsidRPr="007A71C1" w:rsidRDefault="00466D27" w:rsidP="00E27E6A">
      <w:pPr>
        <w:pStyle w:val="aa"/>
        <w:shd w:val="clear" w:color="auto" w:fill="FFFFFF"/>
        <w:suppressAutoHyphens/>
        <w:spacing w:before="0" w:beforeAutospacing="0" w:after="0" w:afterAutospacing="0"/>
        <w:ind w:firstLine="284"/>
        <w:jc w:val="both"/>
        <w:rPr>
          <w:spacing w:val="-4"/>
          <w:sz w:val="22"/>
          <w:szCs w:val="22"/>
        </w:rPr>
      </w:pPr>
      <w:r w:rsidRPr="00E27E6A">
        <w:rPr>
          <w:spacing w:val="-4"/>
          <w:sz w:val="22"/>
          <w:szCs w:val="22"/>
          <w:lang w:val="en-US"/>
        </w:rPr>
        <w:t xml:space="preserve">1. High-wear-resistant cast iron for rolls of hot rolling / N. A. </w:t>
      </w:r>
      <w:proofErr w:type="spellStart"/>
      <w:r w:rsidRPr="00E27E6A">
        <w:rPr>
          <w:spacing w:val="-4"/>
          <w:sz w:val="22"/>
          <w:szCs w:val="22"/>
          <w:lang w:val="en-US"/>
        </w:rPr>
        <w:t>Budagyants</w:t>
      </w:r>
      <w:proofErr w:type="spellEnd"/>
      <w:r w:rsidRPr="00E27E6A">
        <w:rPr>
          <w:spacing w:val="-4"/>
          <w:sz w:val="22"/>
          <w:szCs w:val="22"/>
          <w:lang w:val="en-US"/>
        </w:rPr>
        <w:t xml:space="preserve"> [et al</w:t>
      </w:r>
      <w:r w:rsidRPr="007A71C1">
        <w:rPr>
          <w:spacing w:val="-4"/>
          <w:sz w:val="22"/>
          <w:szCs w:val="22"/>
          <w:lang w:val="en-US"/>
        </w:rPr>
        <w:t>.</w:t>
      </w:r>
      <w:r w:rsidRPr="00E27E6A">
        <w:rPr>
          <w:spacing w:val="-4"/>
          <w:sz w:val="22"/>
          <w:szCs w:val="22"/>
          <w:lang w:val="en-US"/>
        </w:rPr>
        <w:t>] // Proceedings of III</w:t>
      </w:r>
      <w:r w:rsidRPr="007A71C1">
        <w:rPr>
          <w:spacing w:val="-4"/>
          <w:sz w:val="22"/>
          <w:szCs w:val="22"/>
          <w:lang w:val="en-US"/>
        </w:rPr>
        <w:t> </w:t>
      </w:r>
      <w:r w:rsidRPr="00E27E6A">
        <w:rPr>
          <w:spacing w:val="-4"/>
          <w:sz w:val="22"/>
          <w:szCs w:val="22"/>
          <w:lang w:val="en-US"/>
        </w:rPr>
        <w:t xml:space="preserve">international symposium on tribo-fatigue. </w:t>
      </w:r>
      <w:proofErr w:type="gramStart"/>
      <w:r w:rsidRPr="00E27E6A">
        <w:rPr>
          <w:spacing w:val="-4"/>
          <w:sz w:val="22"/>
          <w:szCs w:val="22"/>
          <w:lang w:val="en-US"/>
        </w:rPr>
        <w:t>Beijing</w:t>
      </w:r>
      <w:r w:rsidRPr="007A71C1">
        <w:rPr>
          <w:spacing w:val="-4"/>
          <w:sz w:val="22"/>
          <w:szCs w:val="22"/>
        </w:rPr>
        <w:t xml:space="preserve"> :</w:t>
      </w:r>
      <w:proofErr w:type="gramEnd"/>
      <w:r w:rsidRPr="007A71C1">
        <w:rPr>
          <w:spacing w:val="-4"/>
          <w:sz w:val="22"/>
          <w:szCs w:val="22"/>
        </w:rPr>
        <w:t xml:space="preserve"> </w:t>
      </w:r>
      <w:r w:rsidRPr="00E27E6A">
        <w:rPr>
          <w:spacing w:val="-4"/>
          <w:sz w:val="22"/>
          <w:szCs w:val="22"/>
          <w:lang w:val="en-US"/>
        </w:rPr>
        <w:t>Hunan</w:t>
      </w:r>
      <w:r w:rsidRPr="007A71C1">
        <w:rPr>
          <w:spacing w:val="-4"/>
          <w:sz w:val="22"/>
          <w:szCs w:val="22"/>
        </w:rPr>
        <w:t xml:space="preserve"> </w:t>
      </w:r>
      <w:r w:rsidRPr="00E27E6A">
        <w:rPr>
          <w:spacing w:val="-4"/>
          <w:sz w:val="22"/>
          <w:szCs w:val="22"/>
          <w:lang w:val="en-US"/>
        </w:rPr>
        <w:t>University</w:t>
      </w:r>
      <w:r w:rsidRPr="007A71C1">
        <w:rPr>
          <w:spacing w:val="-4"/>
          <w:sz w:val="22"/>
          <w:szCs w:val="22"/>
        </w:rPr>
        <w:t xml:space="preserve"> </w:t>
      </w:r>
      <w:r w:rsidRPr="00E27E6A">
        <w:rPr>
          <w:spacing w:val="-4"/>
          <w:sz w:val="22"/>
          <w:szCs w:val="22"/>
          <w:lang w:val="en-US"/>
        </w:rPr>
        <w:t>Press</w:t>
      </w:r>
      <w:r w:rsidRPr="007A71C1">
        <w:rPr>
          <w:spacing w:val="-4"/>
          <w:sz w:val="22"/>
          <w:szCs w:val="22"/>
        </w:rPr>
        <w:t xml:space="preserve">, 2000. Р. 236–239. </w:t>
      </w:r>
    </w:p>
    <w:p w:rsidR="00466D27" w:rsidRPr="00E27E6A" w:rsidRDefault="00466D27" w:rsidP="00E27E6A">
      <w:pPr>
        <w:pStyle w:val="aa"/>
        <w:shd w:val="clear" w:color="auto" w:fill="FFFFFF"/>
        <w:suppressAutoHyphens/>
        <w:spacing w:before="0" w:beforeAutospacing="0" w:after="0" w:afterAutospacing="0"/>
        <w:ind w:firstLine="284"/>
        <w:jc w:val="both"/>
        <w:rPr>
          <w:spacing w:val="-4"/>
          <w:sz w:val="22"/>
          <w:szCs w:val="22"/>
          <w:lang w:val="uk-UA"/>
        </w:rPr>
      </w:pPr>
      <w:r w:rsidRPr="00E27E6A">
        <w:rPr>
          <w:spacing w:val="-4"/>
          <w:sz w:val="22"/>
          <w:szCs w:val="22"/>
        </w:rPr>
        <w:t>2. </w:t>
      </w:r>
      <w:proofErr w:type="spellStart"/>
      <w:r w:rsidRPr="00E27E6A">
        <w:rPr>
          <w:iCs/>
          <w:sz w:val="22"/>
          <w:szCs w:val="22"/>
        </w:rPr>
        <w:t>Бивол</w:t>
      </w:r>
      <w:proofErr w:type="spellEnd"/>
      <w:r w:rsidRPr="00E27E6A">
        <w:rPr>
          <w:iCs/>
          <w:sz w:val="22"/>
          <w:szCs w:val="22"/>
        </w:rPr>
        <w:t xml:space="preserve"> Г. Ю., Головастов С. В., Голуб В. В. Формирование </w:t>
      </w:r>
      <w:proofErr w:type="spellStart"/>
      <w:r w:rsidRPr="00E27E6A">
        <w:rPr>
          <w:iCs/>
          <w:sz w:val="22"/>
          <w:szCs w:val="22"/>
        </w:rPr>
        <w:t>пересжатой</w:t>
      </w:r>
      <w:proofErr w:type="spellEnd"/>
      <w:r w:rsidRPr="00E27E6A">
        <w:rPr>
          <w:iCs/>
          <w:sz w:val="22"/>
          <w:szCs w:val="22"/>
        </w:rPr>
        <w:t xml:space="preserve"> волны детонации в потоке </w:t>
      </w:r>
      <w:proofErr w:type="spellStart"/>
      <w:r w:rsidRPr="00E27E6A">
        <w:rPr>
          <w:iCs/>
          <w:sz w:val="22"/>
          <w:szCs w:val="22"/>
        </w:rPr>
        <w:t>метано</w:t>
      </w:r>
      <w:proofErr w:type="spellEnd"/>
      <w:r w:rsidRPr="00E27E6A">
        <w:rPr>
          <w:iCs/>
          <w:sz w:val="22"/>
          <w:szCs w:val="22"/>
        </w:rPr>
        <w:t xml:space="preserve">-кислородных смесей в канале переменного сечения // Теплофизика высоких температур. 2017. Т. 55. </w:t>
      </w:r>
      <w:proofErr w:type="spellStart"/>
      <w:r w:rsidRPr="00E27E6A">
        <w:rPr>
          <w:iCs/>
          <w:sz w:val="22"/>
          <w:szCs w:val="22"/>
        </w:rPr>
        <w:t>Вып</w:t>
      </w:r>
      <w:proofErr w:type="spellEnd"/>
      <w:r w:rsidRPr="00E27E6A">
        <w:rPr>
          <w:iCs/>
          <w:sz w:val="22"/>
          <w:szCs w:val="22"/>
        </w:rPr>
        <w:t>. 4. С. 576–581. DOI: 10.7868/S0040364417030036</w:t>
      </w:r>
    </w:p>
    <w:p w:rsidR="00466D27" w:rsidRPr="00E27E6A" w:rsidRDefault="00466D27" w:rsidP="00E27E6A">
      <w:pPr>
        <w:pStyle w:val="aa"/>
        <w:shd w:val="clear" w:color="auto" w:fill="FFFFFF"/>
        <w:suppressAutoHyphens/>
        <w:spacing w:before="0" w:beforeAutospacing="0" w:after="0" w:afterAutospacing="0"/>
        <w:ind w:firstLine="284"/>
        <w:jc w:val="both"/>
        <w:rPr>
          <w:spacing w:val="-4"/>
          <w:sz w:val="22"/>
          <w:szCs w:val="22"/>
        </w:rPr>
      </w:pPr>
      <w:r w:rsidRPr="00E27E6A">
        <w:rPr>
          <w:spacing w:val="-6"/>
          <w:sz w:val="22"/>
          <w:szCs w:val="22"/>
          <w:lang w:val="uk-UA"/>
        </w:rPr>
        <w:lastRenderedPageBreak/>
        <w:t>3. </w:t>
      </w:r>
      <w:r w:rsidRPr="00E27E6A">
        <w:rPr>
          <w:sz w:val="22"/>
          <w:szCs w:val="22"/>
        </w:rPr>
        <w:t xml:space="preserve">Способ нанесения </w:t>
      </w:r>
      <w:proofErr w:type="spellStart"/>
      <w:r w:rsidRPr="00E27E6A">
        <w:rPr>
          <w:sz w:val="22"/>
          <w:szCs w:val="22"/>
        </w:rPr>
        <w:t>гарнисажа</w:t>
      </w:r>
      <w:proofErr w:type="spellEnd"/>
      <w:r w:rsidRPr="00E27E6A">
        <w:rPr>
          <w:sz w:val="22"/>
          <w:szCs w:val="22"/>
        </w:rPr>
        <w:t xml:space="preserve"> на футеровку </w:t>
      </w:r>
      <w:proofErr w:type="gramStart"/>
      <w:r w:rsidRPr="00E27E6A">
        <w:rPr>
          <w:sz w:val="22"/>
          <w:szCs w:val="22"/>
        </w:rPr>
        <w:t>конвертера :</w:t>
      </w:r>
      <w:proofErr w:type="gramEnd"/>
      <w:r w:rsidRPr="00E27E6A">
        <w:rPr>
          <w:sz w:val="22"/>
          <w:szCs w:val="22"/>
        </w:rPr>
        <w:t xml:space="preserve"> пат. 2632738 Российская Федерация. №</w:t>
      </w:r>
      <w:r>
        <w:rPr>
          <w:sz w:val="22"/>
          <w:szCs w:val="22"/>
        </w:rPr>
        <w:t> </w:t>
      </w:r>
      <w:proofErr w:type="gramStart"/>
      <w:r w:rsidRPr="00E27E6A">
        <w:rPr>
          <w:sz w:val="22"/>
          <w:szCs w:val="22"/>
        </w:rPr>
        <w:t>2109072 ;</w:t>
      </w:r>
      <w:proofErr w:type="gramEnd"/>
      <w:r w:rsidRPr="00E27E6A">
        <w:rPr>
          <w:sz w:val="22"/>
          <w:szCs w:val="22"/>
        </w:rPr>
        <w:t xml:space="preserve"> </w:t>
      </w:r>
      <w:proofErr w:type="spellStart"/>
      <w:r w:rsidRPr="00E27E6A">
        <w:rPr>
          <w:sz w:val="22"/>
          <w:szCs w:val="22"/>
        </w:rPr>
        <w:t>заявл</w:t>
      </w:r>
      <w:proofErr w:type="spellEnd"/>
      <w:r w:rsidRPr="00E27E6A">
        <w:rPr>
          <w:sz w:val="22"/>
          <w:szCs w:val="22"/>
        </w:rPr>
        <w:t xml:space="preserve">. </w:t>
      </w:r>
      <w:proofErr w:type="gramStart"/>
      <w:r w:rsidRPr="00E27E6A">
        <w:rPr>
          <w:sz w:val="22"/>
          <w:szCs w:val="22"/>
        </w:rPr>
        <w:t>10</w:t>
      </w:r>
      <w:r>
        <w:rPr>
          <w:sz w:val="22"/>
          <w:szCs w:val="22"/>
        </w:rPr>
        <w:t>.05.16 ;</w:t>
      </w:r>
      <w:proofErr w:type="gramEnd"/>
      <w:r>
        <w:rPr>
          <w:sz w:val="22"/>
          <w:szCs w:val="22"/>
        </w:rPr>
        <w:t xml:space="preserve"> </w:t>
      </w:r>
      <w:proofErr w:type="spellStart"/>
      <w:r>
        <w:rPr>
          <w:sz w:val="22"/>
          <w:szCs w:val="22"/>
        </w:rPr>
        <w:t>опубл</w:t>
      </w:r>
      <w:proofErr w:type="spellEnd"/>
      <w:r>
        <w:rPr>
          <w:sz w:val="22"/>
          <w:szCs w:val="22"/>
        </w:rPr>
        <w:t xml:space="preserve">. 09.10.17, </w:t>
      </w:r>
      <w:proofErr w:type="spellStart"/>
      <w:r>
        <w:rPr>
          <w:sz w:val="22"/>
          <w:szCs w:val="22"/>
        </w:rPr>
        <w:t>Бюл</w:t>
      </w:r>
      <w:proofErr w:type="spellEnd"/>
      <w:r>
        <w:rPr>
          <w:sz w:val="22"/>
          <w:szCs w:val="22"/>
        </w:rPr>
        <w:t>.</w:t>
      </w:r>
      <w:r w:rsidRPr="00E27E6A">
        <w:rPr>
          <w:sz w:val="22"/>
          <w:szCs w:val="22"/>
        </w:rPr>
        <w:t xml:space="preserve"> 28. 7 с.</w:t>
      </w:r>
      <w:r w:rsidRPr="00E27E6A">
        <w:rPr>
          <w:spacing w:val="-4"/>
          <w:sz w:val="22"/>
          <w:szCs w:val="22"/>
        </w:rPr>
        <w:t xml:space="preserve"> </w:t>
      </w:r>
    </w:p>
    <w:p w:rsidR="00466D27" w:rsidRPr="00E27E6A" w:rsidRDefault="00466D27" w:rsidP="00E27E6A">
      <w:pPr>
        <w:pStyle w:val="aa"/>
        <w:shd w:val="clear" w:color="auto" w:fill="FFFFFF"/>
        <w:suppressAutoHyphens/>
        <w:spacing w:before="0" w:beforeAutospacing="0" w:after="0" w:afterAutospacing="0"/>
        <w:ind w:firstLine="284"/>
        <w:jc w:val="both"/>
        <w:rPr>
          <w:spacing w:val="-4"/>
          <w:sz w:val="22"/>
          <w:szCs w:val="22"/>
        </w:rPr>
      </w:pPr>
      <w:r>
        <w:rPr>
          <w:spacing w:val="-4"/>
          <w:sz w:val="22"/>
          <w:szCs w:val="22"/>
        </w:rPr>
        <w:t>4</w:t>
      </w:r>
      <w:r w:rsidRPr="00E27E6A">
        <w:rPr>
          <w:spacing w:val="-4"/>
          <w:sz w:val="22"/>
          <w:szCs w:val="22"/>
        </w:rPr>
        <w:t>. </w:t>
      </w:r>
      <w:r w:rsidRPr="00E27E6A">
        <w:rPr>
          <w:bCs/>
          <w:sz w:val="22"/>
          <w:szCs w:val="22"/>
        </w:rPr>
        <w:t xml:space="preserve">Устройство для очистки плоских </w:t>
      </w:r>
      <w:proofErr w:type="gramStart"/>
      <w:r w:rsidRPr="00E27E6A">
        <w:rPr>
          <w:bCs/>
          <w:sz w:val="22"/>
          <w:szCs w:val="22"/>
        </w:rPr>
        <w:t>поверхностей :</w:t>
      </w:r>
      <w:proofErr w:type="gramEnd"/>
      <w:r w:rsidRPr="00E27E6A">
        <w:rPr>
          <w:bCs/>
          <w:sz w:val="22"/>
          <w:szCs w:val="22"/>
        </w:rPr>
        <w:t xml:space="preserve"> а. </w:t>
      </w:r>
      <w:r w:rsidRPr="00E27E6A">
        <w:rPr>
          <w:bCs/>
          <w:sz w:val="22"/>
          <w:szCs w:val="22"/>
          <w:lang w:val="en-US"/>
        </w:rPr>
        <w:t>c</w:t>
      </w:r>
      <w:r w:rsidRPr="00E27E6A">
        <w:rPr>
          <w:bCs/>
          <w:sz w:val="22"/>
          <w:szCs w:val="22"/>
        </w:rPr>
        <w:t>. 1602443 СССР. №</w:t>
      </w:r>
      <w:r w:rsidRPr="00E27E6A">
        <w:rPr>
          <w:sz w:val="22"/>
          <w:szCs w:val="22"/>
        </w:rPr>
        <w:t xml:space="preserve"> 4426962/31-</w:t>
      </w:r>
      <w:proofErr w:type="gramStart"/>
      <w:r w:rsidRPr="00E27E6A">
        <w:rPr>
          <w:sz w:val="22"/>
          <w:szCs w:val="22"/>
        </w:rPr>
        <w:t>12 ;</w:t>
      </w:r>
      <w:proofErr w:type="gramEnd"/>
      <w:r w:rsidRPr="00E27E6A">
        <w:rPr>
          <w:sz w:val="22"/>
          <w:szCs w:val="22"/>
        </w:rPr>
        <w:t xml:space="preserve"> </w:t>
      </w:r>
      <w:proofErr w:type="spellStart"/>
      <w:r w:rsidRPr="00E27E6A">
        <w:rPr>
          <w:sz w:val="22"/>
          <w:szCs w:val="22"/>
        </w:rPr>
        <w:t>заявл</w:t>
      </w:r>
      <w:proofErr w:type="spellEnd"/>
      <w:r w:rsidRPr="00E27E6A">
        <w:rPr>
          <w:sz w:val="22"/>
          <w:szCs w:val="22"/>
        </w:rPr>
        <w:t xml:space="preserve">. </w:t>
      </w:r>
      <w:proofErr w:type="gramStart"/>
      <w:r w:rsidRPr="00E27E6A">
        <w:rPr>
          <w:sz w:val="22"/>
          <w:szCs w:val="22"/>
        </w:rPr>
        <w:t>17.05.88 ;</w:t>
      </w:r>
      <w:proofErr w:type="gramEnd"/>
      <w:r w:rsidRPr="00E27E6A">
        <w:rPr>
          <w:sz w:val="22"/>
          <w:szCs w:val="22"/>
        </w:rPr>
        <w:t xml:space="preserve"> </w:t>
      </w:r>
      <w:proofErr w:type="spellStart"/>
      <w:r w:rsidRPr="00E27E6A">
        <w:rPr>
          <w:sz w:val="22"/>
          <w:szCs w:val="22"/>
        </w:rPr>
        <w:t>опубл</w:t>
      </w:r>
      <w:proofErr w:type="spellEnd"/>
      <w:r w:rsidRPr="00E27E6A">
        <w:rPr>
          <w:sz w:val="22"/>
          <w:szCs w:val="22"/>
        </w:rPr>
        <w:t>. 30.10.</w:t>
      </w:r>
      <w:r>
        <w:rPr>
          <w:bCs/>
          <w:sz w:val="22"/>
          <w:szCs w:val="22"/>
        </w:rPr>
        <w:t xml:space="preserve">1990, </w:t>
      </w:r>
      <w:proofErr w:type="spellStart"/>
      <w:r>
        <w:rPr>
          <w:bCs/>
          <w:sz w:val="22"/>
          <w:szCs w:val="22"/>
        </w:rPr>
        <w:t>Бюл</w:t>
      </w:r>
      <w:proofErr w:type="spellEnd"/>
      <w:r>
        <w:rPr>
          <w:bCs/>
          <w:sz w:val="22"/>
          <w:szCs w:val="22"/>
        </w:rPr>
        <w:t>.</w:t>
      </w:r>
      <w:r w:rsidRPr="00E27E6A">
        <w:rPr>
          <w:bCs/>
          <w:sz w:val="22"/>
          <w:szCs w:val="22"/>
        </w:rPr>
        <w:t xml:space="preserve"> </w:t>
      </w:r>
      <w:r w:rsidRPr="00E27E6A">
        <w:rPr>
          <w:sz w:val="22"/>
          <w:szCs w:val="22"/>
        </w:rPr>
        <w:t>40. 3 с.</w:t>
      </w:r>
    </w:p>
    <w:p w:rsidR="00466D27" w:rsidRPr="00E27E6A" w:rsidRDefault="00466D27" w:rsidP="00E27E6A">
      <w:pPr>
        <w:pStyle w:val="aa"/>
        <w:shd w:val="clear" w:color="auto" w:fill="FFFFFF"/>
        <w:suppressAutoHyphens/>
        <w:spacing w:before="0" w:beforeAutospacing="0" w:after="0" w:afterAutospacing="0"/>
        <w:ind w:firstLine="284"/>
        <w:jc w:val="both"/>
        <w:rPr>
          <w:sz w:val="22"/>
          <w:szCs w:val="22"/>
        </w:rPr>
      </w:pPr>
      <w:r>
        <w:rPr>
          <w:spacing w:val="-4"/>
          <w:sz w:val="22"/>
          <w:szCs w:val="22"/>
        </w:rPr>
        <w:t>5</w:t>
      </w:r>
      <w:r w:rsidRPr="007A71C1">
        <w:rPr>
          <w:spacing w:val="-4"/>
          <w:sz w:val="22"/>
          <w:szCs w:val="22"/>
        </w:rPr>
        <w:t>.</w:t>
      </w:r>
      <w:r w:rsidRPr="00E27E6A">
        <w:rPr>
          <w:spacing w:val="-4"/>
          <w:sz w:val="22"/>
          <w:szCs w:val="22"/>
          <w:lang w:val="en-US"/>
        </w:rPr>
        <w:t> </w:t>
      </w:r>
      <w:r w:rsidRPr="00E27E6A">
        <w:rPr>
          <w:sz w:val="22"/>
          <w:szCs w:val="22"/>
        </w:rPr>
        <w:t xml:space="preserve">ГОСТ Р 7.0.7-2021. Статьи в журналах и сборниках. Издательское оформление. </w:t>
      </w:r>
      <w:proofErr w:type="gramStart"/>
      <w:r w:rsidRPr="00E27E6A">
        <w:rPr>
          <w:sz w:val="22"/>
          <w:szCs w:val="22"/>
        </w:rPr>
        <w:t>М. :</w:t>
      </w:r>
      <w:proofErr w:type="gramEnd"/>
      <w:r w:rsidRPr="00E27E6A">
        <w:rPr>
          <w:sz w:val="22"/>
          <w:szCs w:val="22"/>
        </w:rPr>
        <w:t xml:space="preserve"> </w:t>
      </w:r>
      <w:proofErr w:type="spellStart"/>
      <w:r w:rsidRPr="00E27E6A">
        <w:rPr>
          <w:sz w:val="22"/>
          <w:szCs w:val="22"/>
        </w:rPr>
        <w:t>Стандартинформ</w:t>
      </w:r>
      <w:proofErr w:type="spellEnd"/>
      <w:r w:rsidRPr="00E27E6A">
        <w:rPr>
          <w:sz w:val="22"/>
          <w:szCs w:val="22"/>
        </w:rPr>
        <w:t xml:space="preserve">, 2021. 22 с. (Система стандартов по </w:t>
      </w:r>
      <w:proofErr w:type="spellStart"/>
      <w:r w:rsidRPr="00E27E6A">
        <w:rPr>
          <w:sz w:val="22"/>
          <w:szCs w:val="22"/>
        </w:rPr>
        <w:t>информ</w:t>
      </w:r>
      <w:proofErr w:type="spellEnd"/>
      <w:r w:rsidRPr="00E27E6A">
        <w:rPr>
          <w:sz w:val="22"/>
          <w:szCs w:val="22"/>
        </w:rPr>
        <w:t>., библ. и изд. делу).</w:t>
      </w:r>
    </w:p>
    <w:p w:rsidR="00466D27" w:rsidRPr="004B00E8" w:rsidRDefault="00466D27" w:rsidP="00E27E6A">
      <w:pPr>
        <w:pStyle w:val="aa"/>
        <w:shd w:val="clear" w:color="auto" w:fill="FFFFFF"/>
        <w:suppressAutoHyphens/>
        <w:spacing w:before="0" w:beforeAutospacing="0" w:after="0" w:afterAutospacing="0"/>
        <w:ind w:firstLine="284"/>
        <w:jc w:val="both"/>
        <w:rPr>
          <w:sz w:val="22"/>
          <w:szCs w:val="22"/>
        </w:rPr>
      </w:pPr>
      <w:r w:rsidRPr="004B00E8">
        <w:rPr>
          <w:sz w:val="22"/>
          <w:szCs w:val="22"/>
        </w:rPr>
        <w:t xml:space="preserve">6. Стратегия развития предприятия: виды, этапы разработки, оценка [Электронный ресурс] // Деловая </w:t>
      </w:r>
      <w:proofErr w:type="gramStart"/>
      <w:r w:rsidRPr="004B00E8">
        <w:rPr>
          <w:sz w:val="22"/>
          <w:szCs w:val="22"/>
        </w:rPr>
        <w:t>среда :</w:t>
      </w:r>
      <w:proofErr w:type="gramEnd"/>
      <w:r w:rsidRPr="004B00E8">
        <w:rPr>
          <w:sz w:val="22"/>
          <w:szCs w:val="22"/>
        </w:rPr>
        <w:t xml:space="preserve"> [сайт]. [2023]. URL: https://dasreda.ru/media/for-managers/strategiya-razvitiya-predpriyaiya/ (дата обращения: 15.04.2023).</w:t>
      </w:r>
    </w:p>
    <w:p w:rsidR="00466D27" w:rsidRPr="004B00E8" w:rsidRDefault="00466D27" w:rsidP="00E27E6A">
      <w:pPr>
        <w:pStyle w:val="aa"/>
        <w:shd w:val="clear" w:color="auto" w:fill="FFFFFF"/>
        <w:suppressAutoHyphens/>
        <w:spacing w:before="0" w:beforeAutospacing="0" w:after="0" w:afterAutospacing="0"/>
        <w:ind w:firstLine="284"/>
        <w:jc w:val="both"/>
        <w:rPr>
          <w:spacing w:val="-6"/>
          <w:sz w:val="22"/>
          <w:szCs w:val="22"/>
        </w:rPr>
      </w:pPr>
      <w:r w:rsidRPr="004B00E8">
        <w:rPr>
          <w:spacing w:val="-6"/>
          <w:sz w:val="22"/>
          <w:szCs w:val="22"/>
        </w:rPr>
        <w:t>7. Рассказов И. А. Монографическое исследование понятия «угроза экономической безопасности предприятия» // Молодой ученый. 2020. № 48 (338). С. 544–548. URL: https://moluch.ru/archive/338/75686/.</w:t>
      </w:r>
    </w:p>
    <w:p w:rsidR="00466D27" w:rsidRPr="004B00E8" w:rsidRDefault="00466D27" w:rsidP="00E27E6A">
      <w:pPr>
        <w:pStyle w:val="aa"/>
        <w:shd w:val="clear" w:color="auto" w:fill="FFFFFF"/>
        <w:suppressAutoHyphens/>
        <w:spacing w:before="0" w:beforeAutospacing="0" w:after="0" w:afterAutospacing="0"/>
        <w:ind w:firstLine="284"/>
        <w:jc w:val="both"/>
        <w:rPr>
          <w:spacing w:val="-6"/>
          <w:sz w:val="22"/>
          <w:szCs w:val="22"/>
        </w:rPr>
      </w:pPr>
      <w:r w:rsidRPr="004B00E8">
        <w:rPr>
          <w:spacing w:val="-6"/>
          <w:sz w:val="22"/>
          <w:szCs w:val="22"/>
        </w:rPr>
        <w:t xml:space="preserve">8. РД 12.25.001. Порядок организации капитального ремонта оборудования. Оценка и контроль качества продукции ремонтного производства. </w:t>
      </w:r>
      <w:proofErr w:type="gramStart"/>
      <w:r w:rsidRPr="004B00E8">
        <w:rPr>
          <w:spacing w:val="-6"/>
          <w:sz w:val="22"/>
          <w:szCs w:val="22"/>
        </w:rPr>
        <w:t>М. :</w:t>
      </w:r>
      <w:proofErr w:type="gramEnd"/>
      <w:r w:rsidRPr="004B00E8">
        <w:rPr>
          <w:spacing w:val="-6"/>
          <w:sz w:val="22"/>
          <w:szCs w:val="22"/>
        </w:rPr>
        <w:t xml:space="preserve"> Министерство угольной промышленности СССР, 1989. 22 с.</w:t>
      </w:r>
    </w:p>
    <w:p w:rsidR="00466D27" w:rsidRPr="007A71C1" w:rsidRDefault="00466D27" w:rsidP="00E27E6A">
      <w:pPr>
        <w:suppressAutoHyphens/>
        <w:ind w:firstLine="284"/>
        <w:jc w:val="both"/>
        <w:rPr>
          <w:sz w:val="22"/>
          <w:szCs w:val="22"/>
          <w:lang w:val="ru-RU"/>
        </w:rPr>
      </w:pPr>
      <w:r w:rsidRPr="004B00E8">
        <w:rPr>
          <w:sz w:val="22"/>
          <w:szCs w:val="22"/>
          <w:lang w:val="ru-RU"/>
        </w:rPr>
        <w:t>9</w:t>
      </w:r>
      <w:r w:rsidRPr="007A71C1">
        <w:rPr>
          <w:sz w:val="22"/>
          <w:szCs w:val="22"/>
          <w:lang w:val="ru-RU"/>
        </w:rPr>
        <w:t>.</w:t>
      </w:r>
      <w:r w:rsidRPr="004B00E8">
        <w:rPr>
          <w:sz w:val="22"/>
          <w:szCs w:val="22"/>
        </w:rPr>
        <w:t> </w:t>
      </w:r>
      <w:r w:rsidRPr="007A71C1">
        <w:rPr>
          <w:sz w:val="22"/>
          <w:szCs w:val="22"/>
          <w:lang w:val="ru-RU"/>
        </w:rPr>
        <w:t xml:space="preserve">О бухгалтерском учете : </w:t>
      </w:r>
      <w:proofErr w:type="spellStart"/>
      <w:r w:rsidRPr="007A71C1">
        <w:rPr>
          <w:sz w:val="22"/>
          <w:szCs w:val="22"/>
          <w:lang w:val="ru-RU"/>
        </w:rPr>
        <w:t>федер</w:t>
      </w:r>
      <w:proofErr w:type="spellEnd"/>
      <w:r w:rsidRPr="007A71C1">
        <w:rPr>
          <w:sz w:val="22"/>
          <w:szCs w:val="22"/>
          <w:lang w:val="ru-RU"/>
        </w:rPr>
        <w:t>. закон от 06 декабря 2011 г. № 402-ФЗ : принят Гос. Думой 22</w:t>
      </w:r>
      <w:r>
        <w:rPr>
          <w:sz w:val="22"/>
          <w:szCs w:val="22"/>
          <w:lang w:val="ru-RU"/>
        </w:rPr>
        <w:t> </w:t>
      </w:r>
      <w:r w:rsidRPr="007A71C1">
        <w:rPr>
          <w:sz w:val="22"/>
          <w:szCs w:val="22"/>
          <w:lang w:val="ru-RU"/>
        </w:rPr>
        <w:t>ноября 2011 г.</w:t>
      </w:r>
      <w:r>
        <w:rPr>
          <w:sz w:val="22"/>
          <w:szCs w:val="22"/>
          <w:lang w:val="ru-RU"/>
        </w:rPr>
        <w:t xml:space="preserve"> :</w:t>
      </w:r>
      <w:r w:rsidRPr="007A71C1">
        <w:rPr>
          <w:sz w:val="22"/>
          <w:szCs w:val="22"/>
          <w:lang w:val="ru-RU"/>
        </w:rPr>
        <w:t xml:space="preserve"> одобрен Советом Федерации 29 ноября 2011 г. </w:t>
      </w:r>
      <w:r w:rsidRPr="00E27E6A">
        <w:rPr>
          <w:sz w:val="22"/>
          <w:szCs w:val="22"/>
        </w:rPr>
        <w:t>URL</w:t>
      </w:r>
      <w:r w:rsidRPr="007A71C1">
        <w:rPr>
          <w:sz w:val="22"/>
          <w:szCs w:val="22"/>
          <w:lang w:val="ru-RU"/>
        </w:rPr>
        <w:t xml:space="preserve">: </w:t>
      </w:r>
      <w:r w:rsidRPr="00E27E6A">
        <w:rPr>
          <w:sz w:val="22"/>
          <w:szCs w:val="22"/>
        </w:rPr>
        <w:t>http</w:t>
      </w:r>
      <w:r w:rsidRPr="007A71C1">
        <w:rPr>
          <w:sz w:val="22"/>
          <w:szCs w:val="22"/>
          <w:lang w:val="ru-RU"/>
        </w:rPr>
        <w:t>://</w:t>
      </w:r>
      <w:r w:rsidRPr="00E27E6A">
        <w:rPr>
          <w:sz w:val="22"/>
          <w:szCs w:val="22"/>
        </w:rPr>
        <w:t>www</w:t>
      </w:r>
      <w:r w:rsidRPr="007A71C1">
        <w:rPr>
          <w:sz w:val="22"/>
          <w:szCs w:val="22"/>
          <w:lang w:val="ru-RU"/>
        </w:rPr>
        <w:t>.</w:t>
      </w:r>
      <w:r w:rsidRPr="00E27E6A">
        <w:rPr>
          <w:sz w:val="22"/>
          <w:szCs w:val="22"/>
        </w:rPr>
        <w:t>kremlin</w:t>
      </w:r>
      <w:r w:rsidRPr="007A71C1">
        <w:rPr>
          <w:sz w:val="22"/>
          <w:szCs w:val="22"/>
          <w:lang w:val="ru-RU"/>
        </w:rPr>
        <w:t>.</w:t>
      </w:r>
      <w:proofErr w:type="spellStart"/>
      <w:r w:rsidRPr="00E27E6A">
        <w:rPr>
          <w:sz w:val="22"/>
          <w:szCs w:val="22"/>
        </w:rPr>
        <w:t>ru</w:t>
      </w:r>
      <w:proofErr w:type="spellEnd"/>
      <w:r w:rsidRPr="007A71C1">
        <w:rPr>
          <w:sz w:val="22"/>
          <w:szCs w:val="22"/>
          <w:lang w:val="ru-RU"/>
        </w:rPr>
        <w:t>/</w:t>
      </w:r>
      <w:r w:rsidRPr="00E27E6A">
        <w:rPr>
          <w:sz w:val="22"/>
          <w:szCs w:val="22"/>
        </w:rPr>
        <w:t>acts</w:t>
      </w:r>
      <w:r w:rsidRPr="007A71C1">
        <w:rPr>
          <w:sz w:val="22"/>
          <w:szCs w:val="22"/>
          <w:lang w:val="ru-RU"/>
        </w:rPr>
        <w:t>/</w:t>
      </w:r>
      <w:r w:rsidRPr="00E27E6A">
        <w:rPr>
          <w:sz w:val="22"/>
          <w:szCs w:val="22"/>
        </w:rPr>
        <w:t>bank</w:t>
      </w:r>
      <w:r w:rsidRPr="007A71C1">
        <w:rPr>
          <w:sz w:val="22"/>
          <w:szCs w:val="22"/>
          <w:lang w:val="ru-RU"/>
        </w:rPr>
        <w:t>/34440.</w:t>
      </w:r>
    </w:p>
    <w:p w:rsidR="00466D27" w:rsidRDefault="00466D27" w:rsidP="00BE32C9">
      <w:pPr>
        <w:jc w:val="both"/>
        <w:rPr>
          <w:bCs/>
          <w:sz w:val="22"/>
          <w:szCs w:val="22"/>
          <w:lang w:val="ru-RU"/>
        </w:rPr>
      </w:pPr>
    </w:p>
    <w:p w:rsidR="00466D27" w:rsidRPr="007A71C1" w:rsidRDefault="00466D27" w:rsidP="00572811">
      <w:pPr>
        <w:suppressAutoHyphens/>
        <w:rPr>
          <w:i/>
          <w:color w:val="808080"/>
          <w:sz w:val="22"/>
          <w:szCs w:val="22"/>
        </w:rPr>
      </w:pPr>
      <w:r w:rsidRPr="00942A19">
        <w:rPr>
          <w:b/>
          <w:bCs/>
          <w:color w:val="808080"/>
          <w:sz w:val="22"/>
          <w:szCs w:val="22"/>
        </w:rPr>
        <w:t>PhD in Engineering</w:t>
      </w:r>
      <w:r w:rsidRPr="00942A19">
        <w:rPr>
          <w:color w:val="808080"/>
          <w:sz w:val="22"/>
          <w:szCs w:val="22"/>
        </w:rPr>
        <w:t xml:space="preserve"> </w:t>
      </w:r>
      <w:proofErr w:type="spellStart"/>
      <w:r w:rsidRPr="00942A19">
        <w:rPr>
          <w:b/>
          <w:color w:val="808080"/>
          <w:sz w:val="22"/>
          <w:szCs w:val="22"/>
        </w:rPr>
        <w:t>Andreeva</w:t>
      </w:r>
      <w:proofErr w:type="spellEnd"/>
      <w:r w:rsidRPr="00942A19">
        <w:rPr>
          <w:b/>
          <w:color w:val="808080"/>
          <w:sz w:val="22"/>
          <w:szCs w:val="22"/>
        </w:rPr>
        <w:t xml:space="preserve"> A. A.</w:t>
      </w:r>
      <w:r w:rsidRPr="00942A19">
        <w:rPr>
          <w:color w:val="808080"/>
          <w:sz w:val="22"/>
          <w:szCs w:val="22"/>
        </w:rPr>
        <w:t xml:space="preserve">, </w:t>
      </w:r>
      <w:r w:rsidRPr="00942A19">
        <w:rPr>
          <w:b/>
          <w:iCs/>
          <w:color w:val="808080"/>
          <w:sz w:val="22"/>
          <w:szCs w:val="22"/>
        </w:rPr>
        <w:t>4th year student</w:t>
      </w:r>
      <w:r w:rsidRPr="00942A19">
        <w:rPr>
          <w:iCs/>
          <w:color w:val="808080"/>
          <w:sz w:val="22"/>
          <w:szCs w:val="22"/>
        </w:rPr>
        <w:t xml:space="preserve"> </w:t>
      </w:r>
      <w:r w:rsidRPr="00942A19">
        <w:rPr>
          <w:b/>
          <w:iCs/>
          <w:color w:val="808080"/>
          <w:sz w:val="22"/>
          <w:szCs w:val="22"/>
        </w:rPr>
        <w:t>Vasilyeva V.</w:t>
      </w:r>
      <w:r w:rsidRPr="007A71C1">
        <w:rPr>
          <w:b/>
          <w:iCs/>
          <w:color w:val="808080"/>
          <w:sz w:val="22"/>
          <w:szCs w:val="22"/>
        </w:rPr>
        <w:t xml:space="preserve"> </w:t>
      </w:r>
      <w:r w:rsidRPr="00942A19">
        <w:rPr>
          <w:b/>
          <w:iCs/>
          <w:color w:val="808080"/>
          <w:sz w:val="22"/>
          <w:szCs w:val="22"/>
        </w:rPr>
        <w:t xml:space="preserve">V. </w:t>
      </w:r>
      <w:r w:rsidRPr="00942A19">
        <w:rPr>
          <w:i/>
          <w:iCs/>
          <w:color w:val="808080"/>
          <w:sz w:val="22"/>
          <w:szCs w:val="22"/>
        </w:rPr>
        <w:t>(</w:t>
      </w:r>
      <w:r w:rsidRPr="00942A19">
        <w:rPr>
          <w:i/>
          <w:color w:val="808080"/>
          <w:sz w:val="22"/>
          <w:szCs w:val="20"/>
        </w:rPr>
        <w:t>Donbass State Technical University</w:t>
      </w:r>
      <w:r w:rsidRPr="00942A19">
        <w:rPr>
          <w:i/>
          <w:color w:val="808080"/>
          <w:sz w:val="22"/>
          <w:szCs w:val="22"/>
        </w:rPr>
        <w:t xml:space="preserve">, </w:t>
      </w:r>
      <w:proofErr w:type="spellStart"/>
      <w:r w:rsidRPr="00942A19">
        <w:rPr>
          <w:i/>
          <w:color w:val="808080"/>
          <w:sz w:val="22"/>
          <w:szCs w:val="22"/>
        </w:rPr>
        <w:t>Alchevsk</w:t>
      </w:r>
      <w:proofErr w:type="spellEnd"/>
      <w:r w:rsidRPr="00942A19">
        <w:rPr>
          <w:i/>
          <w:color w:val="808080"/>
          <w:sz w:val="22"/>
          <w:szCs w:val="22"/>
        </w:rPr>
        <w:t>, LPR, Russia</w:t>
      </w:r>
      <w:r w:rsidRPr="00942A19">
        <w:rPr>
          <w:i/>
          <w:iCs/>
          <w:color w:val="808080"/>
          <w:sz w:val="22"/>
          <w:szCs w:val="22"/>
        </w:rPr>
        <w:t>)</w:t>
      </w:r>
      <w:r w:rsidRPr="00942A19">
        <w:rPr>
          <w:b/>
          <w:iCs/>
          <w:color w:val="808080"/>
          <w:sz w:val="22"/>
          <w:szCs w:val="22"/>
        </w:rPr>
        <w:t>,</w:t>
      </w:r>
      <w:r w:rsidRPr="00942A19">
        <w:rPr>
          <w:b/>
          <w:color w:val="808080"/>
          <w:sz w:val="22"/>
          <w:szCs w:val="22"/>
        </w:rPr>
        <w:t xml:space="preserve"> </w:t>
      </w:r>
      <w:r w:rsidRPr="007A71C1">
        <w:rPr>
          <w:b/>
          <w:color w:val="808080"/>
          <w:sz w:val="22"/>
          <w:szCs w:val="22"/>
        </w:rPr>
        <w:t>Chief Engineer</w:t>
      </w:r>
      <w:r w:rsidRPr="007A71C1">
        <w:rPr>
          <w:color w:val="808080"/>
          <w:sz w:val="22"/>
          <w:szCs w:val="22"/>
        </w:rPr>
        <w:t xml:space="preserve"> </w:t>
      </w:r>
      <w:r w:rsidRPr="00942A19">
        <w:rPr>
          <w:b/>
          <w:color w:val="808080"/>
          <w:sz w:val="22"/>
          <w:szCs w:val="22"/>
        </w:rPr>
        <w:t xml:space="preserve">Nikolaev N. N. </w:t>
      </w:r>
      <w:r w:rsidRPr="007A71C1">
        <w:rPr>
          <w:i/>
          <w:color w:val="808080"/>
          <w:sz w:val="22"/>
          <w:szCs w:val="22"/>
        </w:rPr>
        <w:t xml:space="preserve">(Southern Mining and Metallurgical Complex, </w:t>
      </w:r>
      <w:proofErr w:type="spellStart"/>
      <w:r w:rsidRPr="00942A19">
        <w:rPr>
          <w:i/>
          <w:color w:val="808080"/>
          <w:sz w:val="22"/>
          <w:szCs w:val="22"/>
        </w:rPr>
        <w:t>Alchevsk</w:t>
      </w:r>
      <w:proofErr w:type="spellEnd"/>
      <w:r w:rsidRPr="00942A19">
        <w:rPr>
          <w:i/>
          <w:color w:val="808080"/>
          <w:sz w:val="22"/>
          <w:szCs w:val="22"/>
        </w:rPr>
        <w:t>, LPR, Russia</w:t>
      </w:r>
      <w:r w:rsidRPr="007A71C1">
        <w:rPr>
          <w:i/>
          <w:color w:val="808080"/>
          <w:sz w:val="22"/>
          <w:szCs w:val="22"/>
        </w:rPr>
        <w:t>)</w:t>
      </w:r>
    </w:p>
    <w:p w:rsidR="00466D27" w:rsidRPr="00942A19" w:rsidRDefault="00466D27" w:rsidP="00364CC8">
      <w:pPr>
        <w:pStyle w:val="1"/>
        <w:jc w:val="left"/>
        <w:rPr>
          <w:i w:val="0"/>
          <w:color w:val="808080"/>
          <w:sz w:val="22"/>
          <w:szCs w:val="22"/>
          <w:lang w:val="en-US"/>
        </w:rPr>
      </w:pPr>
      <w:r w:rsidRPr="00942A19">
        <w:rPr>
          <w:i w:val="0"/>
          <w:color w:val="808080"/>
          <w:sz w:val="22"/>
          <w:szCs w:val="22"/>
          <w:lang w:val="en-US"/>
        </w:rPr>
        <w:t>IMPROVEMENT OF HEAT TREATMENT TECHNOLOGY OF MASSIVE ROLLS</w:t>
      </w:r>
    </w:p>
    <w:p w:rsidR="00466D27" w:rsidRPr="00942A19" w:rsidRDefault="00466D27" w:rsidP="00364CC8">
      <w:pPr>
        <w:pStyle w:val="1"/>
        <w:suppressAutoHyphens/>
        <w:ind w:firstLine="709"/>
        <w:jc w:val="both"/>
        <w:rPr>
          <w:b w:val="0"/>
          <w:color w:val="808080"/>
          <w:sz w:val="22"/>
          <w:szCs w:val="22"/>
          <w:lang w:val="en-US"/>
        </w:rPr>
      </w:pPr>
      <w:r w:rsidRPr="00942A19">
        <w:rPr>
          <w:b w:val="0"/>
          <w:color w:val="808080"/>
          <w:sz w:val="22"/>
          <w:szCs w:val="22"/>
          <w:lang w:val="en-US"/>
        </w:rPr>
        <w:t xml:space="preserve">The paper focuses on the development of heat treatment of massive rolls in gas chamber bogie- hearth furnaces. The non-uniformity of roll heating was determined, which caused increasing of inhomogeneity in the level of their properties. The paper proposes the reconstruction of flares in the furnace and the adjustment of the heat treatment mode. </w:t>
      </w:r>
    </w:p>
    <w:p w:rsidR="00466D27" w:rsidRPr="00942A19" w:rsidRDefault="00466D27" w:rsidP="00364CC8">
      <w:pPr>
        <w:tabs>
          <w:tab w:val="decimal" w:pos="1080"/>
          <w:tab w:val="left" w:pos="2268"/>
        </w:tabs>
        <w:suppressAutoHyphens/>
        <w:ind w:firstLine="709"/>
        <w:jc w:val="both"/>
        <w:rPr>
          <w:i/>
          <w:color w:val="808080"/>
          <w:sz w:val="22"/>
          <w:szCs w:val="22"/>
        </w:rPr>
      </w:pPr>
      <w:r w:rsidRPr="00942A19">
        <w:rPr>
          <w:b/>
          <w:i/>
          <w:color w:val="808080"/>
          <w:sz w:val="22"/>
          <w:szCs w:val="22"/>
        </w:rPr>
        <w:t>Keywords:</w:t>
      </w:r>
      <w:r w:rsidRPr="00942A19">
        <w:rPr>
          <w:i/>
          <w:color w:val="808080"/>
          <w:sz w:val="22"/>
          <w:szCs w:val="22"/>
        </w:rPr>
        <w:t xml:space="preserve"> roll, gas-fired bogie-hearth furnace, uniformity of heating, properties, heat treatment.</w:t>
      </w:r>
    </w:p>
    <w:p w:rsidR="00466D27" w:rsidRPr="007A71C1" w:rsidRDefault="00466D27" w:rsidP="00BE32C9">
      <w:pPr>
        <w:jc w:val="both"/>
        <w:rPr>
          <w:bCs/>
          <w:sz w:val="22"/>
          <w:szCs w:val="22"/>
        </w:rPr>
      </w:pPr>
    </w:p>
    <w:sectPr w:rsidR="00466D27" w:rsidRPr="007A71C1" w:rsidSect="00E03471">
      <w:footerReference w:type="even" r:id="rId43"/>
      <w:pgSz w:w="11906" w:h="16838" w:code="9"/>
      <w:pgMar w:top="1134" w:right="1134" w:bottom="1418" w:left="1134" w:header="0" w:footer="1021"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B85" w:rsidRDefault="00AC7B85" w:rsidP="00101489">
      <w:r>
        <w:separator/>
      </w:r>
    </w:p>
  </w:endnote>
  <w:endnote w:type="continuationSeparator" w:id="0">
    <w:p w:rsidR="00AC7B85" w:rsidRDefault="00AC7B85" w:rsidP="0010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D27" w:rsidRDefault="00466D27" w:rsidP="00D3611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6D27" w:rsidRDefault="00466D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B85" w:rsidRDefault="00AC7B85" w:rsidP="00101489">
      <w:r>
        <w:separator/>
      </w:r>
    </w:p>
  </w:footnote>
  <w:footnote w:type="continuationSeparator" w:id="0">
    <w:p w:rsidR="00AC7B85" w:rsidRDefault="00AC7B85" w:rsidP="00101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8277F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DEA22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496CD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F105C9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DEC1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044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C03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A8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453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E880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3D389F"/>
    <w:multiLevelType w:val="hybridMultilevel"/>
    <w:tmpl w:val="2112FDE8"/>
    <w:lvl w:ilvl="0" w:tplc="63F66C9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489"/>
    <w:rsid w:val="00010F4A"/>
    <w:rsid w:val="0001352F"/>
    <w:rsid w:val="000138D6"/>
    <w:rsid w:val="000154A7"/>
    <w:rsid w:val="00016B18"/>
    <w:rsid w:val="0002377B"/>
    <w:rsid w:val="00031924"/>
    <w:rsid w:val="00032719"/>
    <w:rsid w:val="00036ACB"/>
    <w:rsid w:val="00044862"/>
    <w:rsid w:val="00064396"/>
    <w:rsid w:val="000723C0"/>
    <w:rsid w:val="00074965"/>
    <w:rsid w:val="00092891"/>
    <w:rsid w:val="000935F7"/>
    <w:rsid w:val="000C20A9"/>
    <w:rsid w:val="000D650D"/>
    <w:rsid w:val="000E4F1B"/>
    <w:rsid w:val="00101489"/>
    <w:rsid w:val="0010653C"/>
    <w:rsid w:val="001145D8"/>
    <w:rsid w:val="00143C2C"/>
    <w:rsid w:val="00183BA7"/>
    <w:rsid w:val="001861D7"/>
    <w:rsid w:val="001C0886"/>
    <w:rsid w:val="001E3D9D"/>
    <w:rsid w:val="001F1E8B"/>
    <w:rsid w:val="00215327"/>
    <w:rsid w:val="00240999"/>
    <w:rsid w:val="002417AC"/>
    <w:rsid w:val="00244BCB"/>
    <w:rsid w:val="002450E0"/>
    <w:rsid w:val="00256C80"/>
    <w:rsid w:val="00264A11"/>
    <w:rsid w:val="00267E05"/>
    <w:rsid w:val="00270C7C"/>
    <w:rsid w:val="0028382C"/>
    <w:rsid w:val="00287DEE"/>
    <w:rsid w:val="002B3BA2"/>
    <w:rsid w:val="002C3A61"/>
    <w:rsid w:val="002D2A09"/>
    <w:rsid w:val="002D4971"/>
    <w:rsid w:val="002D7F8A"/>
    <w:rsid w:val="002F197E"/>
    <w:rsid w:val="002F7EE7"/>
    <w:rsid w:val="00322BBC"/>
    <w:rsid w:val="00323989"/>
    <w:rsid w:val="003411D7"/>
    <w:rsid w:val="0034476E"/>
    <w:rsid w:val="0036196A"/>
    <w:rsid w:val="00363392"/>
    <w:rsid w:val="00364CC8"/>
    <w:rsid w:val="003A7DBD"/>
    <w:rsid w:val="003B45FB"/>
    <w:rsid w:val="0041174D"/>
    <w:rsid w:val="00412EA1"/>
    <w:rsid w:val="00425254"/>
    <w:rsid w:val="0043104E"/>
    <w:rsid w:val="00443FD3"/>
    <w:rsid w:val="00466D27"/>
    <w:rsid w:val="004B00E8"/>
    <w:rsid w:val="004C1EE5"/>
    <w:rsid w:val="004C4D71"/>
    <w:rsid w:val="004E0965"/>
    <w:rsid w:val="004E74CB"/>
    <w:rsid w:val="004F58A2"/>
    <w:rsid w:val="00502F48"/>
    <w:rsid w:val="0051033C"/>
    <w:rsid w:val="00525B49"/>
    <w:rsid w:val="005522AA"/>
    <w:rsid w:val="005716D6"/>
    <w:rsid w:val="00572811"/>
    <w:rsid w:val="00577502"/>
    <w:rsid w:val="00583FDF"/>
    <w:rsid w:val="005C6C33"/>
    <w:rsid w:val="005C70F5"/>
    <w:rsid w:val="005E4AE0"/>
    <w:rsid w:val="005F1004"/>
    <w:rsid w:val="00612BBF"/>
    <w:rsid w:val="00623EB6"/>
    <w:rsid w:val="0062603E"/>
    <w:rsid w:val="00643AB3"/>
    <w:rsid w:val="00663CF7"/>
    <w:rsid w:val="00674FE2"/>
    <w:rsid w:val="0068153A"/>
    <w:rsid w:val="006860CB"/>
    <w:rsid w:val="006A442D"/>
    <w:rsid w:val="006B32E0"/>
    <w:rsid w:val="006C5244"/>
    <w:rsid w:val="006D3B87"/>
    <w:rsid w:val="006E159C"/>
    <w:rsid w:val="006F55D5"/>
    <w:rsid w:val="006F5BE0"/>
    <w:rsid w:val="00703511"/>
    <w:rsid w:val="00705013"/>
    <w:rsid w:val="00706A53"/>
    <w:rsid w:val="00727879"/>
    <w:rsid w:val="0073488A"/>
    <w:rsid w:val="00735569"/>
    <w:rsid w:val="00744D08"/>
    <w:rsid w:val="00753AD3"/>
    <w:rsid w:val="00760213"/>
    <w:rsid w:val="007806AB"/>
    <w:rsid w:val="00794784"/>
    <w:rsid w:val="007951F1"/>
    <w:rsid w:val="007A71C1"/>
    <w:rsid w:val="007C7BD2"/>
    <w:rsid w:val="007E04F5"/>
    <w:rsid w:val="007E4F2E"/>
    <w:rsid w:val="007F2F93"/>
    <w:rsid w:val="00810B1D"/>
    <w:rsid w:val="008251E1"/>
    <w:rsid w:val="00834526"/>
    <w:rsid w:val="00834DB5"/>
    <w:rsid w:val="0085042D"/>
    <w:rsid w:val="00857D60"/>
    <w:rsid w:val="00875D4D"/>
    <w:rsid w:val="008A6AF0"/>
    <w:rsid w:val="008B299B"/>
    <w:rsid w:val="008B7DA9"/>
    <w:rsid w:val="008C3201"/>
    <w:rsid w:val="008D11BA"/>
    <w:rsid w:val="008E51F1"/>
    <w:rsid w:val="008F0D94"/>
    <w:rsid w:val="008F2918"/>
    <w:rsid w:val="009159BF"/>
    <w:rsid w:val="00917A56"/>
    <w:rsid w:val="00922E76"/>
    <w:rsid w:val="00942A19"/>
    <w:rsid w:val="00943EC6"/>
    <w:rsid w:val="00950B4E"/>
    <w:rsid w:val="00960B3B"/>
    <w:rsid w:val="00965250"/>
    <w:rsid w:val="009663C5"/>
    <w:rsid w:val="009769E1"/>
    <w:rsid w:val="009A4F14"/>
    <w:rsid w:val="009D6853"/>
    <w:rsid w:val="009E44E6"/>
    <w:rsid w:val="00A104C1"/>
    <w:rsid w:val="00A1371A"/>
    <w:rsid w:val="00A16101"/>
    <w:rsid w:val="00A50F9A"/>
    <w:rsid w:val="00A751D2"/>
    <w:rsid w:val="00AC7B85"/>
    <w:rsid w:val="00AD1F96"/>
    <w:rsid w:val="00AD20C0"/>
    <w:rsid w:val="00AE1EB5"/>
    <w:rsid w:val="00AF7ABC"/>
    <w:rsid w:val="00B07BD3"/>
    <w:rsid w:val="00B36CAE"/>
    <w:rsid w:val="00B436D7"/>
    <w:rsid w:val="00B44B33"/>
    <w:rsid w:val="00B46CAE"/>
    <w:rsid w:val="00B47442"/>
    <w:rsid w:val="00B770F4"/>
    <w:rsid w:val="00BE32C9"/>
    <w:rsid w:val="00BE5536"/>
    <w:rsid w:val="00C07529"/>
    <w:rsid w:val="00C32227"/>
    <w:rsid w:val="00C32C5A"/>
    <w:rsid w:val="00C33424"/>
    <w:rsid w:val="00C3775D"/>
    <w:rsid w:val="00C8139B"/>
    <w:rsid w:val="00C8382F"/>
    <w:rsid w:val="00C9051C"/>
    <w:rsid w:val="00C91F1A"/>
    <w:rsid w:val="00CF3A1C"/>
    <w:rsid w:val="00D21DA5"/>
    <w:rsid w:val="00D236D4"/>
    <w:rsid w:val="00D36118"/>
    <w:rsid w:val="00D551CF"/>
    <w:rsid w:val="00D57AFC"/>
    <w:rsid w:val="00D6102B"/>
    <w:rsid w:val="00D632F3"/>
    <w:rsid w:val="00D76BA0"/>
    <w:rsid w:val="00DB7C29"/>
    <w:rsid w:val="00DC074E"/>
    <w:rsid w:val="00DC4FF6"/>
    <w:rsid w:val="00DE7016"/>
    <w:rsid w:val="00E03471"/>
    <w:rsid w:val="00E22E18"/>
    <w:rsid w:val="00E247FB"/>
    <w:rsid w:val="00E27E6A"/>
    <w:rsid w:val="00E34405"/>
    <w:rsid w:val="00E41074"/>
    <w:rsid w:val="00E46011"/>
    <w:rsid w:val="00E56525"/>
    <w:rsid w:val="00E84FFD"/>
    <w:rsid w:val="00E90419"/>
    <w:rsid w:val="00EB3A64"/>
    <w:rsid w:val="00EC1C6A"/>
    <w:rsid w:val="00ED5026"/>
    <w:rsid w:val="00F01207"/>
    <w:rsid w:val="00F241B6"/>
    <w:rsid w:val="00F2650A"/>
    <w:rsid w:val="00F35836"/>
    <w:rsid w:val="00F519EC"/>
    <w:rsid w:val="00F63679"/>
    <w:rsid w:val="00F66C79"/>
    <w:rsid w:val="00F75446"/>
    <w:rsid w:val="00F84DE0"/>
    <w:rsid w:val="00FA3327"/>
    <w:rsid w:val="00FC7514"/>
    <w:rsid w:val="00FD5862"/>
    <w:rsid w:val="00FE03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6B1148-AFFF-448E-BEDC-8EC2A77E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489"/>
    <w:rPr>
      <w:rFonts w:ascii="Times New Roman" w:eastAsia="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1489"/>
    <w:pPr>
      <w:tabs>
        <w:tab w:val="center" w:pos="4677"/>
        <w:tab w:val="right" w:pos="9355"/>
      </w:tabs>
    </w:pPr>
  </w:style>
  <w:style w:type="character" w:customStyle="1" w:styleId="a4">
    <w:name w:val="Верхний колонтитул Знак"/>
    <w:link w:val="a3"/>
    <w:uiPriority w:val="99"/>
    <w:semiHidden/>
    <w:locked/>
    <w:rsid w:val="00101489"/>
    <w:rPr>
      <w:rFonts w:cs="Times New Roman"/>
    </w:rPr>
  </w:style>
  <w:style w:type="paragraph" w:styleId="a5">
    <w:name w:val="footer"/>
    <w:basedOn w:val="a"/>
    <w:link w:val="a6"/>
    <w:uiPriority w:val="99"/>
    <w:semiHidden/>
    <w:rsid w:val="00101489"/>
    <w:pPr>
      <w:tabs>
        <w:tab w:val="center" w:pos="4677"/>
        <w:tab w:val="right" w:pos="9355"/>
      </w:tabs>
    </w:pPr>
  </w:style>
  <w:style w:type="character" w:customStyle="1" w:styleId="a6">
    <w:name w:val="Нижний колонтитул Знак"/>
    <w:link w:val="a5"/>
    <w:uiPriority w:val="99"/>
    <w:semiHidden/>
    <w:locked/>
    <w:rsid w:val="00101489"/>
    <w:rPr>
      <w:rFonts w:cs="Times New Roman"/>
    </w:rPr>
  </w:style>
  <w:style w:type="paragraph" w:customStyle="1" w:styleId="a7">
    <w:name w:val="Знак Знак Знак Знак Знак"/>
    <w:basedOn w:val="a"/>
    <w:uiPriority w:val="99"/>
    <w:rsid w:val="008F0D94"/>
    <w:rPr>
      <w:rFonts w:ascii="Verdana" w:eastAsia="Calibri" w:hAnsi="Verdana"/>
      <w:sz w:val="20"/>
      <w:szCs w:val="20"/>
      <w:lang w:eastAsia="en-US"/>
    </w:rPr>
  </w:style>
  <w:style w:type="character" w:styleId="a8">
    <w:name w:val="page number"/>
    <w:uiPriority w:val="99"/>
    <w:rsid w:val="00E03471"/>
    <w:rPr>
      <w:rFonts w:cs="Times New Roman"/>
    </w:rPr>
  </w:style>
  <w:style w:type="paragraph" w:customStyle="1" w:styleId="a9">
    <w:name w:val="Кр строка"/>
    <w:basedOn w:val="a"/>
    <w:uiPriority w:val="99"/>
    <w:rsid w:val="002D4971"/>
    <w:pPr>
      <w:spacing w:line="360" w:lineRule="auto"/>
      <w:ind w:firstLine="567"/>
      <w:jc w:val="both"/>
    </w:pPr>
    <w:rPr>
      <w:rFonts w:eastAsia="Calibri"/>
      <w:w w:val="90"/>
      <w:sz w:val="28"/>
      <w:szCs w:val="28"/>
      <w:lang w:val="ru-RU"/>
    </w:rPr>
  </w:style>
  <w:style w:type="paragraph" w:styleId="aa">
    <w:name w:val="Normal (Web)"/>
    <w:basedOn w:val="a"/>
    <w:uiPriority w:val="99"/>
    <w:semiHidden/>
    <w:rsid w:val="00E27E6A"/>
    <w:pPr>
      <w:spacing w:before="100" w:beforeAutospacing="1" w:after="100" w:afterAutospacing="1"/>
    </w:pPr>
    <w:rPr>
      <w:rFonts w:eastAsia="Calibri"/>
      <w:lang w:val="ru-RU"/>
    </w:rPr>
  </w:style>
  <w:style w:type="paragraph" w:customStyle="1" w:styleId="p12">
    <w:name w:val="p12"/>
    <w:basedOn w:val="a"/>
    <w:uiPriority w:val="99"/>
    <w:rsid w:val="00D76BA0"/>
    <w:pPr>
      <w:suppressAutoHyphens/>
      <w:spacing w:before="280" w:after="280"/>
    </w:pPr>
    <w:rPr>
      <w:rFonts w:eastAsia="Calibri"/>
      <w:lang w:val="ru-RU" w:eastAsia="ar-SA"/>
    </w:rPr>
  </w:style>
  <w:style w:type="paragraph" w:customStyle="1" w:styleId="ab">
    <w:name w:val="Кр. стр."/>
    <w:basedOn w:val="a"/>
    <w:link w:val="ac"/>
    <w:uiPriority w:val="99"/>
    <w:rsid w:val="00215327"/>
    <w:pPr>
      <w:ind w:firstLine="567"/>
      <w:jc w:val="both"/>
    </w:pPr>
    <w:rPr>
      <w:rFonts w:eastAsia="Calibri"/>
      <w:lang w:val="ru-RU"/>
    </w:rPr>
  </w:style>
  <w:style w:type="character" w:customStyle="1" w:styleId="ac">
    <w:name w:val="Кр. стр. Знак"/>
    <w:link w:val="ab"/>
    <w:uiPriority w:val="99"/>
    <w:locked/>
    <w:rsid w:val="00215327"/>
    <w:rPr>
      <w:rFonts w:cs="Times New Roman"/>
      <w:sz w:val="24"/>
      <w:szCs w:val="24"/>
      <w:lang w:val="ru-RU" w:eastAsia="ru-RU" w:bidi="ar-SA"/>
    </w:rPr>
  </w:style>
  <w:style w:type="paragraph" w:customStyle="1" w:styleId="ad">
    <w:name w:val="Рисунок"/>
    <w:basedOn w:val="a"/>
    <w:link w:val="ae"/>
    <w:uiPriority w:val="99"/>
    <w:rsid w:val="00215327"/>
    <w:pPr>
      <w:keepNext/>
      <w:spacing w:before="120"/>
      <w:jc w:val="center"/>
    </w:pPr>
    <w:rPr>
      <w:rFonts w:eastAsia="Calibri"/>
      <w:lang w:val="ru-RU"/>
    </w:rPr>
  </w:style>
  <w:style w:type="character" w:customStyle="1" w:styleId="ae">
    <w:name w:val="Рисунок Знак"/>
    <w:link w:val="ad"/>
    <w:uiPriority w:val="99"/>
    <w:locked/>
    <w:rsid w:val="00215327"/>
    <w:rPr>
      <w:rFonts w:cs="Times New Roman"/>
      <w:sz w:val="24"/>
      <w:szCs w:val="24"/>
      <w:lang w:val="ru-RU" w:eastAsia="ru-RU" w:bidi="ar-SA"/>
    </w:rPr>
  </w:style>
  <w:style w:type="paragraph" w:customStyle="1" w:styleId="af">
    <w:name w:val="Назв рисунка"/>
    <w:basedOn w:val="a"/>
    <w:link w:val="af0"/>
    <w:autoRedefine/>
    <w:uiPriority w:val="99"/>
    <w:rsid w:val="009A4F14"/>
    <w:pPr>
      <w:suppressAutoHyphens/>
      <w:spacing w:before="100" w:beforeAutospacing="1" w:after="100" w:afterAutospacing="1"/>
      <w:jc w:val="center"/>
    </w:pPr>
    <w:rPr>
      <w:rFonts w:eastAsia="Calibri"/>
      <w:noProof/>
      <w:sz w:val="22"/>
      <w:szCs w:val="22"/>
      <w:lang w:val="ru-RU"/>
    </w:rPr>
  </w:style>
  <w:style w:type="character" w:customStyle="1" w:styleId="af0">
    <w:name w:val="Назв рисунка Знак"/>
    <w:link w:val="af"/>
    <w:uiPriority w:val="99"/>
    <w:locked/>
    <w:rsid w:val="009A4F14"/>
    <w:rPr>
      <w:rFonts w:cs="Times New Roman"/>
      <w:noProof/>
      <w:sz w:val="22"/>
      <w:szCs w:val="22"/>
      <w:lang w:val="ru-RU" w:eastAsia="ru-RU" w:bidi="ar-SA"/>
    </w:rPr>
  </w:style>
  <w:style w:type="paragraph" w:customStyle="1" w:styleId="af1">
    <w:name w:val="Легенда"/>
    <w:basedOn w:val="a"/>
    <w:link w:val="af2"/>
    <w:uiPriority w:val="99"/>
    <w:rsid w:val="00215327"/>
    <w:pPr>
      <w:keepNext/>
      <w:spacing w:before="120"/>
      <w:ind w:left="567" w:right="567"/>
    </w:pPr>
    <w:rPr>
      <w:rFonts w:eastAsia="Calibri"/>
      <w:sz w:val="20"/>
      <w:lang w:val="ru-RU"/>
    </w:rPr>
  </w:style>
  <w:style w:type="character" w:customStyle="1" w:styleId="af2">
    <w:name w:val="Легенда Знак"/>
    <w:link w:val="af1"/>
    <w:uiPriority w:val="99"/>
    <w:locked/>
    <w:rsid w:val="00215327"/>
    <w:rPr>
      <w:rFonts w:cs="Times New Roman"/>
      <w:sz w:val="24"/>
      <w:szCs w:val="24"/>
      <w:lang w:val="ru-RU" w:eastAsia="ru-RU" w:bidi="ar-SA"/>
    </w:rPr>
  </w:style>
  <w:style w:type="paragraph" w:customStyle="1" w:styleId="af3">
    <w:name w:val="Название рис"/>
    <w:basedOn w:val="a"/>
    <w:next w:val="a"/>
    <w:uiPriority w:val="99"/>
    <w:rsid w:val="00AE1EB5"/>
    <w:pPr>
      <w:keepLines/>
      <w:widowControl w:val="0"/>
      <w:tabs>
        <w:tab w:val="left" w:pos="1701"/>
      </w:tabs>
      <w:suppressAutoHyphens/>
      <w:autoSpaceDE w:val="0"/>
      <w:autoSpaceDN w:val="0"/>
      <w:adjustRightInd w:val="0"/>
      <w:spacing w:before="100" w:beforeAutospacing="1" w:after="100" w:afterAutospacing="1"/>
      <w:jc w:val="center"/>
    </w:pPr>
    <w:rPr>
      <w:sz w:val="22"/>
      <w:szCs w:val="28"/>
      <w:lang w:val="ru-RU" w:eastAsia="en-US"/>
    </w:rPr>
  </w:style>
  <w:style w:type="paragraph" w:styleId="af4">
    <w:name w:val="Body Text"/>
    <w:basedOn w:val="a"/>
    <w:link w:val="af5"/>
    <w:uiPriority w:val="99"/>
    <w:rsid w:val="00E46011"/>
    <w:pPr>
      <w:spacing w:after="120" w:line="259" w:lineRule="auto"/>
    </w:pPr>
    <w:rPr>
      <w:rFonts w:ascii="Calibri" w:eastAsia="Calibri" w:hAnsi="Calibri"/>
      <w:noProof/>
      <w:sz w:val="22"/>
      <w:szCs w:val="20"/>
      <w:lang w:val="ru-RU" w:eastAsia="en-US"/>
    </w:rPr>
  </w:style>
  <w:style w:type="character" w:customStyle="1" w:styleId="BodyTextChar">
    <w:name w:val="Body Text Char"/>
    <w:uiPriority w:val="99"/>
    <w:semiHidden/>
    <w:locked/>
    <w:rsid w:val="00256C80"/>
    <w:rPr>
      <w:rFonts w:ascii="Times New Roman" w:hAnsi="Times New Roman" w:cs="Times New Roman"/>
      <w:sz w:val="24"/>
      <w:szCs w:val="24"/>
      <w:lang w:val="en-US"/>
    </w:rPr>
  </w:style>
  <w:style w:type="character" w:customStyle="1" w:styleId="af5">
    <w:name w:val="Основной текст Знак"/>
    <w:link w:val="af4"/>
    <w:uiPriority w:val="99"/>
    <w:locked/>
    <w:rsid w:val="00E46011"/>
    <w:rPr>
      <w:rFonts w:ascii="Calibri" w:hAnsi="Calibri"/>
      <w:noProof/>
      <w:sz w:val="22"/>
      <w:lang w:val="ru-RU" w:eastAsia="en-US"/>
    </w:rPr>
  </w:style>
  <w:style w:type="paragraph" w:customStyle="1" w:styleId="af6">
    <w:name w:val="Название Табл"/>
    <w:basedOn w:val="a"/>
    <w:next w:val="a"/>
    <w:uiPriority w:val="99"/>
    <w:rsid w:val="00DB7C29"/>
    <w:pPr>
      <w:keepNext/>
      <w:tabs>
        <w:tab w:val="left" w:pos="2098"/>
      </w:tabs>
      <w:spacing w:before="240" w:after="120"/>
    </w:pPr>
    <w:rPr>
      <w:szCs w:val="22"/>
      <w:lang w:val="ru-RU" w:eastAsia="en-US"/>
    </w:rPr>
  </w:style>
  <w:style w:type="paragraph" w:customStyle="1" w:styleId="af7">
    <w:name w:val="В табл слово"/>
    <w:basedOn w:val="a"/>
    <w:uiPriority w:val="99"/>
    <w:rsid w:val="00DB7C29"/>
    <w:rPr>
      <w:sz w:val="22"/>
      <w:szCs w:val="22"/>
      <w:lang w:val="ru-RU" w:eastAsia="en-US"/>
    </w:rPr>
  </w:style>
  <w:style w:type="paragraph" w:customStyle="1" w:styleId="af8">
    <w:name w:val="Кр стр"/>
    <w:basedOn w:val="a"/>
    <w:link w:val="af9"/>
    <w:uiPriority w:val="99"/>
    <w:rsid w:val="000138D6"/>
    <w:pPr>
      <w:ind w:firstLine="709"/>
      <w:jc w:val="both"/>
    </w:pPr>
    <w:rPr>
      <w:szCs w:val="22"/>
      <w:lang w:val="ru-RU" w:eastAsia="en-US"/>
    </w:rPr>
  </w:style>
  <w:style w:type="character" w:customStyle="1" w:styleId="af9">
    <w:name w:val="Кр стр Знак"/>
    <w:link w:val="af8"/>
    <w:uiPriority w:val="99"/>
    <w:locked/>
    <w:rsid w:val="000138D6"/>
    <w:rPr>
      <w:rFonts w:eastAsia="Times New Roman" w:cs="Times New Roman"/>
      <w:sz w:val="22"/>
      <w:szCs w:val="22"/>
      <w:lang w:val="ru-RU" w:eastAsia="en-US" w:bidi="ar-SA"/>
    </w:rPr>
  </w:style>
  <w:style w:type="paragraph" w:customStyle="1" w:styleId="1">
    <w:name w:val="1   автор"/>
    <w:basedOn w:val="a"/>
    <w:uiPriority w:val="99"/>
    <w:rsid w:val="00364CC8"/>
    <w:pPr>
      <w:widowControl w:val="0"/>
      <w:jc w:val="right"/>
    </w:pPr>
    <w:rPr>
      <w:rFonts w:eastAsia="Calibri"/>
      <w:b/>
      <w:i/>
      <w:lang w:val="ru-RU"/>
    </w:rPr>
  </w:style>
  <w:style w:type="paragraph" w:customStyle="1" w:styleId="10">
    <w:name w:val="Без интервала1"/>
    <w:uiPriority w:val="99"/>
    <w:rsid w:val="00D632F3"/>
    <w:pPr>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032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Секция 1</vt:lpstr>
    </vt:vector>
  </TitlesOfParts>
  <Company>Grizli777</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Секция 1</dc:title>
  <dc:subject/>
  <dc:creator>Света</dc:creator>
  <cp:keywords/>
  <dc:description/>
  <cp:lastModifiedBy>Lado</cp:lastModifiedBy>
  <cp:revision>15</cp:revision>
  <dcterms:created xsi:type="dcterms:W3CDTF">2023-07-24T07:29:00Z</dcterms:created>
  <dcterms:modified xsi:type="dcterms:W3CDTF">2023-09-06T13:07:00Z</dcterms:modified>
</cp:coreProperties>
</file>